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single" w:color="E7E7EB" w:sz="6" w:space="7"/>
          <w:right w:val="none" w:color="auto" w:sz="0" w:space="0"/>
        </w:pBdr>
        <w:spacing w:before="0" w:beforeAutospacing="0" w:after="210" w:afterAutospacing="0" w:line="21" w:lineRule="atLeast"/>
        <w:ind w:left="0" w:right="0" w:firstLine="0"/>
        <w:jc w:val="center"/>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44"/>
          <w:szCs w:val="44"/>
          <w:bdr w:val="none" w:color="auto" w:sz="0" w:space="0"/>
        </w:rPr>
        <w:t>2016年江苏省新能源汽车推广应用省级财政补贴政策出台（附政策原文）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line="300" w:lineRule="atLeast"/>
        <w:ind w:left="0" w:right="0" w:firstLine="0"/>
        <w:jc w:val="left"/>
        <w:rPr>
          <w:rFonts w:hint="eastAsia" w:ascii="仿宋" w:hAnsi="仿宋" w:eastAsia="仿宋" w:cs="仿宋"/>
          <w:sz w:val="24"/>
          <w:szCs w:val="24"/>
        </w:rPr>
      </w:pPr>
      <w:r>
        <w:rPr>
          <w:rStyle w:val="7"/>
          <w:rFonts w:hint="eastAsia" w:ascii="仿宋" w:hAnsi="仿宋" w:eastAsia="仿宋" w:cs="仿宋"/>
          <w:b w:val="0"/>
          <w:i w:val="0"/>
          <w:caps w:val="0"/>
          <w:color w:val="8C8C8C"/>
          <w:spacing w:val="0"/>
          <w:kern w:val="0"/>
          <w:sz w:val="24"/>
          <w:szCs w:val="24"/>
          <w:bdr w:val="none" w:color="auto" w:sz="0" w:space="0"/>
          <w:lang w:val="en-US" w:eastAsia="zh-CN" w:bidi="ar"/>
        </w:rPr>
        <w:t>2016-03-03</w:t>
      </w:r>
      <w:r>
        <w:rPr>
          <w:rFonts w:hint="eastAsia" w:ascii="仿宋" w:hAnsi="仿宋" w:eastAsia="仿宋" w:cs="仿宋"/>
          <w:b w:val="0"/>
          <w:i w:val="0"/>
          <w:caps w:val="0"/>
          <w:color w:val="607FA6"/>
          <w:spacing w:val="0"/>
          <w:kern w:val="0"/>
          <w:sz w:val="24"/>
          <w:szCs w:val="24"/>
          <w:u w:val="none"/>
          <w:bdr w:val="none" w:color="auto" w:sz="0" w:space="0"/>
          <w:lang w:val="en-US" w:eastAsia="zh-CN" w:bidi="ar"/>
        </w:rPr>
        <w:fldChar w:fldCharType="begin"/>
      </w:r>
      <w:r>
        <w:rPr>
          <w:rFonts w:hint="eastAsia" w:ascii="仿宋" w:hAnsi="仿宋" w:eastAsia="仿宋" w:cs="仿宋"/>
          <w:b w:val="0"/>
          <w:i w:val="0"/>
          <w:caps w:val="0"/>
          <w:color w:val="607FA6"/>
          <w:spacing w:val="0"/>
          <w:kern w:val="0"/>
          <w:sz w:val="24"/>
          <w:szCs w:val="24"/>
          <w:u w:val="none"/>
          <w:bdr w:val="none" w:color="auto" w:sz="0" w:space="0"/>
          <w:lang w:val="en-US" w:eastAsia="zh-CN" w:bidi="ar"/>
        </w:rPr>
        <w:instrText xml:space="preserve"> HYPERLINK "https://mp.weixin.qq.com/javascript:void(0);" </w:instrText>
      </w:r>
      <w:r>
        <w:rPr>
          <w:rFonts w:hint="eastAsia" w:ascii="仿宋" w:hAnsi="仿宋" w:eastAsia="仿宋" w:cs="仿宋"/>
          <w:b w:val="0"/>
          <w:i w:val="0"/>
          <w:caps w:val="0"/>
          <w:color w:val="607FA6"/>
          <w:spacing w:val="0"/>
          <w:kern w:val="0"/>
          <w:sz w:val="24"/>
          <w:szCs w:val="24"/>
          <w:u w:val="none"/>
          <w:bdr w:val="none" w:color="auto" w:sz="0" w:space="0"/>
          <w:lang w:val="en-US" w:eastAsia="zh-CN" w:bidi="ar"/>
        </w:rPr>
        <w:fldChar w:fldCharType="separate"/>
      </w:r>
      <w:r>
        <w:rPr>
          <w:rStyle w:val="8"/>
          <w:rFonts w:hint="eastAsia" w:ascii="仿宋" w:hAnsi="仿宋" w:eastAsia="仿宋" w:cs="仿宋"/>
          <w:b w:val="0"/>
          <w:i w:val="0"/>
          <w:caps w:val="0"/>
          <w:color w:val="607FA6"/>
          <w:spacing w:val="0"/>
          <w:sz w:val="24"/>
          <w:szCs w:val="24"/>
          <w:u w:val="none"/>
          <w:bdr w:val="none" w:color="auto" w:sz="0" w:space="0"/>
        </w:rPr>
        <w:t>电动汽车资源网</w:t>
      </w:r>
      <w:r>
        <w:rPr>
          <w:rFonts w:hint="eastAsia" w:ascii="仿宋" w:hAnsi="仿宋" w:eastAsia="仿宋" w:cs="仿宋"/>
          <w:b w:val="0"/>
          <w:i w:val="0"/>
          <w:caps w:val="0"/>
          <w:color w:val="607FA6"/>
          <w:spacing w:val="0"/>
          <w:kern w:val="0"/>
          <w:sz w:val="24"/>
          <w:szCs w:val="24"/>
          <w:u w:val="none"/>
          <w:bdr w:val="none" w:color="auto" w:sz="0" w:space="0"/>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0"/>
        <w:jc w:val="center"/>
        <w:rPr>
          <w:rFonts w:hint="eastAsia" w:ascii="仿宋" w:hAnsi="仿宋" w:eastAsia="仿宋" w:cs="仿宋"/>
          <w:color w:val="222222"/>
          <w:sz w:val="24"/>
          <w:szCs w:val="24"/>
        </w:rPr>
      </w:pPr>
      <w:r>
        <w:rPr>
          <w:rStyle w:val="6"/>
          <w:rFonts w:hint="eastAsia" w:ascii="仿宋" w:hAnsi="仿宋" w:eastAsia="仿宋" w:cs="仿宋"/>
          <w:i w:val="0"/>
          <w:caps w:val="0"/>
          <w:color w:val="222222"/>
          <w:spacing w:val="0"/>
          <w:sz w:val="24"/>
          <w:szCs w:val="24"/>
          <w:bdr w:val="none" w:color="auto" w:sz="0" w:space="0"/>
          <w:shd w:val="clear" w:fill="FFFFFF"/>
        </w:rPr>
        <w:t>2016年江苏省新能源汽车推广应用省级财政补贴实施细则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0"/>
        <w:jc w:val="center"/>
        <w:rPr>
          <w:rFonts w:hint="eastAsia" w:ascii="仿宋" w:hAnsi="仿宋" w:eastAsia="仿宋" w:cs="仿宋"/>
          <w:color w:val="222222"/>
          <w:sz w:val="24"/>
          <w:szCs w:val="24"/>
        </w:rPr>
      </w:pPr>
      <w:r>
        <w:rPr>
          <w:rFonts w:hint="eastAsia" w:ascii="仿宋" w:hAnsi="仿宋" w:eastAsia="仿宋" w:cs="仿宋"/>
          <w:i w:val="0"/>
          <w:caps w:val="0"/>
          <w:color w:val="222222"/>
          <w:spacing w:val="0"/>
          <w:sz w:val="24"/>
          <w:szCs w:val="24"/>
          <w:bdr w:val="none" w:color="auto" w:sz="0" w:space="0"/>
          <w:shd w:val="clear" w:fill="FFFFFF"/>
        </w:rPr>
        <w:t>苏财工贸【2016】13号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各省辖市财政局、新能源汽车推广应用牵头部门：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为贯彻落实省政府关于支持新能源汽车推广应用的有关文件精神，进一步做好我省新能源汽车推广应用工作，我们研究制订了《2016年江苏省新能源汽车推广应用省级财政补贴实施细则》，现予印发，请各地及有关部门贯彻执行，并按规定做好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0"/>
        <w:jc w:val="right"/>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省财政厅   省经济和信息化委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0"/>
        <w:jc w:val="right"/>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2016年3月1日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0"/>
        <w:jc w:val="center"/>
        <w:rPr>
          <w:rFonts w:hint="eastAsia" w:ascii="仿宋" w:hAnsi="仿宋" w:eastAsia="仿宋" w:cs="仿宋"/>
          <w:color w:val="222222"/>
          <w:sz w:val="24"/>
          <w:szCs w:val="24"/>
        </w:rPr>
      </w:pPr>
      <w:r>
        <w:rPr>
          <w:rStyle w:val="6"/>
          <w:rFonts w:hint="eastAsia" w:ascii="仿宋" w:hAnsi="仿宋" w:eastAsia="仿宋" w:cs="仿宋"/>
          <w:i w:val="0"/>
          <w:caps w:val="0"/>
          <w:color w:val="222222"/>
          <w:spacing w:val="0"/>
          <w:sz w:val="24"/>
          <w:szCs w:val="24"/>
          <w:bdr w:val="none" w:color="auto" w:sz="0" w:space="0"/>
          <w:shd w:val="clear" w:fill="FFFFFF"/>
        </w:rPr>
        <w:t>2016年江苏省新能源汽车推广应用省级财政补贴实施细则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根据财政部、科技部、工业和信息化部、发展改革委等四部委《关于继续开展新能源汽车推广应用工作的通知》（财建〔2013〕551号）、《关于2016－2020年新能源汽车推广应用财政支持政策的通知》（财建﹝2015﹞134号）及2016年江苏省新能源汽车推广应用实施方案有关规定，结合我省新能源汽车推广应用实际情况，制定本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一、补贴对象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省级财政资金补贴对象为本省范围内新能源汽车购买者和公共服务领域充电设施建设运营单位。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新能源汽车是指纳入国家《新能源汽车推广应用工程推荐车型目录》的纯电动汽车、插电式混合动力汽车（含增程式）和燃料电池汽车。其中：私人消费者仅限于购置新能源乘用车。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以财政性资金购买新能源汽车的，省、市财政均不再给予购车补贴。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各类企事业单位、社团组织购买使用新能源汽车的，均按属地原则申请省级财政补贴资金。其中：省属国有独资或国有控股企业购买新能源汽车，地方性补贴由省财政全额负担。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公共领域充电设施建设运营单位符合省经信委、省能源局等部门制定的江苏省公共领域新能源汽车充电设施建设、运营管理办法、江苏省公共领域新能源汽车充电设施验收细则相关要求。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二、补贴标准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（一）车辆购置补贴标准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各类新能源汽车购置补贴标准详见附件1。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我省地方财政（含省、市两级财政）补贴总额不超过扣除国家补贴后汽车售价的60%（以销售发票为准），其中省级财政补贴不超过扣除国家补贴后汽车售价的30%。市级补贴标准不得低于省级补贴标准。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（二）充电设施建设补贴标准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省级财政资金对公共领域充电设施建设运营单位按充电桩充电功率给予补贴，交流充电桩每千瓦400元、直流充电桩每千瓦600元。市级补贴标准不得低于省级补贴标准，单个充电站或充电桩群的省、市补贴总额不超过200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三、资金拨付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（一）车辆购置补贴资金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1、拨付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省级财政补贴资金采取“先预拨、后清算”的办法下达。2016年3月底前按各省辖市推广任务数量预拨省级补贴资金，由各省辖市根据本地区新能源汽车推广进度与本级财政补贴资金按本细则规定程序一并拨付给补贴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2、清算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2017年3月底前，各省辖市财政局、新能源汽车推广应用牵头部门联合向省财政厅和省经济和信息化委提交本地区（包括所辖的县（市）、区）2016年度新能源汽车省级补贴资金清算报告、新能源汽车推广应用省级财政补贴资金汇总表（车辆购置）（附件2-1）、本地区（包括所辖的县（市）、区）补贴资金安排情况，并提供以下材料（只报送省经济和信息化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（1）新能源汽车推广应用省级财政补贴资金申请表（车辆购置）（附件3－1）；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（2）企业营业执照、组织机构代码、税务登记证复印件；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（3）车辆购销合同、购销发票等凭证复印件；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（4）注册地公安部门核发的车辆登记证和行驶证复印件；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（5）车辆用途及车辆运营相关资质证明；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（6）5年内不转让车辆的承诺；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（7）经营车辆租赁业务的企业，需提供相关资质证明，并保障用于租赁的新能源汽车正常安全行驶。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（8）私人消费者购买新能源乘用车的还需提供购车者身份证复印件（非本地户籍的需一并提供社保缴纳证明）；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（9）省属国有独资或国有控股企业购买新能源汽车的，需由所属集团公司或主管部门向当地提出申请。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（10）其他需要说明的材料。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上述相关材料，经省经济和信息化委审核后报省财政厅进行清算，多拨的结转下年使用，少拨的予以补足。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（二）充电设施建设补贴资金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充电设施建设补贴资金按季拨付，省财政厅会同省经济和信息化委于每季度结束后30个工作日内将资金下达至各省辖市。各省辖市财政局和新能源汽车推广应用牵头部门，于季度结束后15个工作日内，向省财政厅和省经济和信息化委提交本地区（包括所辖的县（市）、区）充电设施建设申请拨付资金报告、新能源汽车推广应用省级财政补贴资金汇总表（充电设施建设）（附件2－2）、本地区财政补贴资金安排情况或方案，并提供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（1）新能源汽车推广应用省级财政补贴资金申请表（充电设施建设）（附件3－2）；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（2）企业营业执照、组织机构代码、税务登记证复印件；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（3）项目备案批复文件复印件；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（4）项目建设和运营规划书；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（5）建设成本预算，有关设备的购置合同、发票，工程建设委托合同等；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（6）市新能源汽车推广应用牵头部门组织的项目验收合格材料；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（7）其他需要说明的材料。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（三）资金拨付程序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省级财政补贴资金由所在地财政部门拨付给新能源汽车购买者，其中私人消费者购置新能源乘用车，省级补贴资金由所在地财政部门拨付给当地汽车销售机构（4S店），汽车销售机构 （4S店）以扣除补贴后的价格与私人消费者结算；充电设施建设省级补贴资金由所在地财政部门拨付给建设运营单位。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四、其他要求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一）享受省级财政补贴资金的新能源汽车购买者注册地限于本省范围内，且5年内不得转让（购买者因企业破产等原因确需转让的需报省新能源汽车推广应用协调小组办公室备案，且只能在注册地范围内转让）；新能源客车及专用车使用范围仅限于本省范围内；非注册地户籍私人消费者购买新能源乘用车申请省级财政补贴资金的，需在注册地缴纳一年以上的社会保险基金；享受省级财政补贴资金的公共服务领域充电设施原则上不得移除，因规划调整等原因确需移除的需报省新能源汽车推广应用协调小组办公室备案，具体按《江苏省公共领域新能源汽车充电设施建设、运营管理办法（试行）》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二）新能源汽车生产企业应保障产品的安全可靠，具有保证新能源汽车正常使用的售后服务能力，在推广应用的市（县）建有1个以上的服务站，并负责对废旧电池进行回收和处理；应按照国家《新能源汽车推广应用工程推荐车型目录》要求对消费者提供质量保证。购置新能源客车或专用车的企业或单位应具备正常使用相关车辆的能力和正当合理用途，并保证车辆的安全运行；营运车辆应符合《江苏省道路运输条例》有关规定。公共服务领域充电设施建设运营单位应保障充电设施正常安全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五、申请省级财政补贴资金的新能源汽车购买者、销售机构、公共服务领域充电设施建设运营单位对所提交申请材料的真实性负责；各省辖市新能源汽车推广应用牵头部门负责对本地区新能源汽车省级财政资金申请材料进行审核，财政部门负责按补贴标准核实并及时拨付资金。对提供虚假信息、无法保证新能源汽车正常运行、汽车技术参数不满足要求等骗取省级财政补贴奖励资金的，将追缴补贴奖励资金、取消补贴奖励资格，并按照《中华人民共和国预算法》、《财政违法行为处罚处分条例》、《江苏省财政监督办法》予以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六、各地应根据《2016年江苏省新能源汽车推广应用实施方案》要求，结合本地区实际情况，抓紧制定本地区财政补贴实施细则，并于2016年4月底前报省财政厅、省经济和信息化委备案。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七、本实施细则由省财政厅、省经济和信息化委负责解释，国家若出台新政策则按新政策执行。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0"/>
        <w:jc w:val="center"/>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2016年新能源汽车推广应用省级财政补贴标准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一、 纯电动乘用车、插电式混合动力（含增程式）乘用车推广应用补助标准（单位：万元/辆）</w:t>
      </w:r>
    </w:p>
    <w:tbl>
      <w:tblPr>
        <w:tblW w:w="10048" w:type="dxa"/>
        <w:jc w:val="center"/>
        <w:tblInd w:w="-7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210"/>
        <w:gridCol w:w="2380"/>
        <w:gridCol w:w="2466"/>
        <w:gridCol w:w="1656"/>
        <w:gridCol w:w="1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15" w:hRule="atLeast"/>
          <w:jc w:val="center"/>
        </w:trPr>
        <w:tc>
          <w:tcPr>
            <w:tcW w:w="221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车辆类型</w:t>
            </w:r>
          </w:p>
        </w:tc>
        <w:tc>
          <w:tcPr>
            <w:tcW w:w="7838" w:type="dxa"/>
            <w:gridSpan w:val="4"/>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纯电动续驶里程R(工况法、公里)（最高时速不低于100公里）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 w:hRule="atLeast"/>
          <w:jc w:val="center"/>
        </w:trPr>
        <w:tc>
          <w:tcPr>
            <w:tcW w:w="22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仿宋" w:hAnsi="仿宋" w:eastAsia="仿宋" w:cs="仿宋"/>
                <w:sz w:val="24"/>
                <w:szCs w:val="24"/>
              </w:rPr>
            </w:pPr>
          </w:p>
        </w:tc>
        <w:tc>
          <w:tcPr>
            <w:tcW w:w="23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100≤R＜150</w:t>
            </w:r>
          </w:p>
        </w:tc>
        <w:tc>
          <w:tcPr>
            <w:tcW w:w="2466"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150≤R＜250</w:t>
            </w:r>
          </w:p>
        </w:tc>
        <w:tc>
          <w:tcPr>
            <w:tcW w:w="1656"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R≥250</w:t>
            </w:r>
          </w:p>
        </w:tc>
        <w:tc>
          <w:tcPr>
            <w:tcW w:w="1336"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R≥50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 w:hRule="atLeast"/>
          <w:jc w:val="center"/>
        </w:trPr>
        <w:tc>
          <w:tcPr>
            <w:tcW w:w="2210"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纯电动乘用车</w:t>
            </w:r>
          </w:p>
        </w:tc>
        <w:tc>
          <w:tcPr>
            <w:tcW w:w="23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1</w:t>
            </w:r>
          </w:p>
        </w:tc>
        <w:tc>
          <w:tcPr>
            <w:tcW w:w="246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1.5</w:t>
            </w:r>
          </w:p>
        </w:tc>
        <w:tc>
          <w:tcPr>
            <w:tcW w:w="165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2</w:t>
            </w:r>
          </w:p>
        </w:tc>
        <w:tc>
          <w:tcPr>
            <w:tcW w:w="133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 w:hRule="atLeast"/>
          <w:jc w:val="center"/>
        </w:trPr>
        <w:tc>
          <w:tcPr>
            <w:tcW w:w="2210"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插电式混合动力乘用车（含增程式）</w:t>
            </w:r>
          </w:p>
        </w:tc>
        <w:tc>
          <w:tcPr>
            <w:tcW w:w="23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w:t>
            </w:r>
          </w:p>
        </w:tc>
        <w:tc>
          <w:tcPr>
            <w:tcW w:w="246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w:t>
            </w:r>
          </w:p>
        </w:tc>
        <w:tc>
          <w:tcPr>
            <w:tcW w:w="165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w:t>
            </w:r>
          </w:p>
        </w:tc>
        <w:tc>
          <w:tcPr>
            <w:tcW w:w="133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1</w:t>
            </w:r>
          </w:p>
        </w:tc>
      </w:tr>
    </w:tbl>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b w:val="0"/>
          <w:i w:val="0"/>
          <w:caps w:val="0"/>
          <w:color w:val="222222"/>
          <w:spacing w:val="0"/>
          <w:sz w:val="24"/>
          <w:szCs w:val="24"/>
          <w:bdr w:val="none" w:color="auto" w:sz="0" w:space="0"/>
          <w:shd w:val="clear" w:fill="FFFFFF"/>
        </w:rPr>
      </w:pPr>
      <w:r>
        <w:rPr>
          <w:rFonts w:hint="eastAsia" w:ascii="仿宋" w:hAnsi="仿宋" w:eastAsia="仿宋" w:cs="仿宋"/>
          <w:b w:val="0"/>
          <w:i w:val="0"/>
          <w:caps w:val="0"/>
          <w:color w:val="222222"/>
          <w:spacing w:val="0"/>
          <w:sz w:val="24"/>
          <w:szCs w:val="24"/>
          <w:bdr w:val="none" w:color="auto" w:sz="0" w:space="0"/>
          <w:shd w:val="clear" w:fill="FFFFFF"/>
        </w:rPr>
        <w:t> 纯电动、插电式混合动力（含增程式）等客车推广应用补助标准（单位：万元/辆）</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fldChar w:fldCharType="begin"/>
      </w:r>
      <w:r>
        <w:rPr>
          <w:rFonts w:hint="eastAsia" w:ascii="仿宋" w:hAnsi="仿宋" w:eastAsia="仿宋" w:cs="仿宋"/>
          <w:kern w:val="0"/>
          <w:sz w:val="24"/>
          <w:szCs w:val="24"/>
          <w:lang w:val="en-US" w:eastAsia="zh-CN" w:bidi="ar"/>
        </w:rPr>
        <w:instrText xml:space="preserve">INCLUDEPICTURE \d "C:\\Users\\lenovo-101\\AppData\\Roaming\\Tencent\\Users\\1285107047\\QQ\\WinTemp\\RichOle\\%CNIONP$33R[EIMJ8BTQ[3I.png" \* MERGEFORMATINET </w:instrText>
      </w:r>
      <w:r>
        <w:rPr>
          <w:rFonts w:hint="eastAsia" w:ascii="仿宋" w:hAnsi="仿宋" w:eastAsia="仿宋" w:cs="仿宋"/>
          <w:kern w:val="0"/>
          <w:sz w:val="24"/>
          <w:szCs w:val="24"/>
          <w:lang w:val="en-US" w:eastAsia="zh-CN" w:bidi="ar"/>
        </w:rPr>
        <w:fldChar w:fldCharType="separate"/>
      </w:r>
      <w:r>
        <w:rPr>
          <w:rFonts w:hint="eastAsia" w:ascii="仿宋" w:hAnsi="仿宋" w:eastAsia="仿宋" w:cs="仿宋"/>
          <w:kern w:val="0"/>
          <w:sz w:val="24"/>
          <w:szCs w:val="24"/>
          <w:lang w:val="en-US" w:eastAsia="zh-CN" w:bidi="ar"/>
        </w:rPr>
        <w:drawing>
          <wp:inline distT="0" distB="0" distL="114300" distR="114300">
            <wp:extent cx="6276975" cy="4295775"/>
            <wp:effectExtent l="0" t="0" r="9525" b="9525"/>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4" r:link="rId5"/>
                    <a:stretch>
                      <a:fillRect/>
                    </a:stretch>
                  </pic:blipFill>
                  <pic:spPr>
                    <a:xfrm>
                      <a:off x="0" y="0"/>
                      <a:ext cx="6276975" cy="4295775"/>
                    </a:xfrm>
                    <a:prstGeom prst="rect">
                      <a:avLst/>
                    </a:prstGeom>
                    <a:noFill/>
                    <a:ln w="9525">
                      <a:noFill/>
                      <a:miter/>
                    </a:ln>
                  </pic:spPr>
                </pic:pic>
              </a:graphicData>
            </a:graphic>
          </wp:inline>
        </w:drawing>
      </w:r>
      <w:r>
        <w:rPr>
          <w:rFonts w:hint="eastAsia" w:ascii="仿宋" w:hAnsi="仿宋" w:eastAsia="仿宋" w:cs="仿宋"/>
          <w:kern w:val="0"/>
          <w:sz w:val="24"/>
          <w:szCs w:val="24"/>
          <w:lang w:val="en-US" w:eastAsia="zh-CN" w:bidi="ar"/>
        </w:rPr>
        <w:fldChar w:fldCharType="end"/>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420" w:leftChars="0" w:right="0" w:rightChars="0"/>
        <w:rPr>
          <w:rFonts w:hint="eastAsia" w:ascii="仿宋" w:hAnsi="仿宋" w:eastAsia="仿宋" w:cs="仿宋"/>
          <w:b w:val="0"/>
          <w:i w:val="0"/>
          <w:caps w:val="0"/>
          <w:color w:val="222222"/>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三、纯电动、插电式混合动力（含增程式）专用车、货车推广应用补助标准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插电式混合动力（含增程式）专用车、货车每辆补贴1.5万元；纯电动专用车、货车按电池容量每千瓦时补助400元（最高补贴不超过3万元）。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四、燃料电池汽车推广应用补助标准（单位：万元/辆）</w:t>
      </w:r>
    </w:p>
    <w:tbl>
      <w:tblPr>
        <w:tblW w:w="10049" w:type="dxa"/>
        <w:jc w:val="center"/>
        <w:tblInd w:w="-7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976"/>
        <w:gridCol w:w="6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390" w:hRule="atLeast"/>
          <w:jc w:val="center"/>
        </w:trPr>
        <w:tc>
          <w:tcPr>
            <w:tcW w:w="3976" w:type="dxa"/>
            <w:tcBorders>
              <w:top w:val="single" w:color="auto" w:sz="6" w:space="0"/>
              <w:left w:val="single" w:color="000000" w:sz="6" w:space="0"/>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车辆类型</w:t>
            </w:r>
          </w:p>
        </w:tc>
        <w:tc>
          <w:tcPr>
            <w:tcW w:w="6073" w:type="dxa"/>
            <w:tcBorders>
              <w:top w:val="single" w:color="auto" w:sz="6" w:space="0"/>
              <w:left w:val="single" w:color="DDDDDD" w:sz="6" w:space="0"/>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3976" w:type="dxa"/>
            <w:tcBorders>
              <w:top w:val="single" w:color="DDDDDD" w:sz="6" w:space="0"/>
              <w:left w:val="single" w:color="000000" w:sz="6" w:space="0"/>
              <w:bottom w:val="single" w:color="DDDDDD"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燃料电池乘用车</w:t>
            </w:r>
          </w:p>
        </w:tc>
        <w:tc>
          <w:tcPr>
            <w:tcW w:w="6073" w:type="dxa"/>
            <w:tcBorders>
              <w:top w:val="single" w:color="DDDDDD" w:sz="6" w:space="0"/>
              <w:left w:val="single" w:color="DDDDDD" w:sz="6" w:space="0"/>
              <w:bottom w:val="single" w:color="DDDDDD"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39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燃料电池轻型客车、货车</w:t>
            </w:r>
          </w:p>
        </w:tc>
        <w:tc>
          <w:tcPr>
            <w:tcW w:w="6073" w:type="dxa"/>
            <w:tcBorders>
              <w:top w:val="single" w:color="000000" w:sz="6" w:space="0"/>
              <w:left w:val="single" w:color="FFFFFF" w:sz="6" w:space="0"/>
              <w:bottom w:val="single" w:color="FFFFFF"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3976" w:type="dxa"/>
            <w:tcBorders>
              <w:top w:val="single" w:color="DDDDDD" w:sz="6" w:space="0"/>
              <w:left w:val="single" w:color="000000" w:sz="6" w:space="0"/>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燃料电池大中型客车、中重型货车</w:t>
            </w:r>
          </w:p>
        </w:tc>
        <w:tc>
          <w:tcPr>
            <w:tcW w:w="6073" w:type="dxa"/>
            <w:tcBorders>
              <w:top w:val="single" w:color="000000" w:sz="6" w:space="0"/>
              <w:left w:val="single" w:color="FFFFFF" w:sz="6" w:space="0"/>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10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附件2－1：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新能源汽车推广应用省级财政补贴资金申请汇总表（车辆购置）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（201    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推广应用城市：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单位：辆、万元</w:t>
      </w:r>
    </w:p>
    <w:tbl>
      <w:tblPr>
        <w:tblW w:w="10047" w:type="dxa"/>
        <w:jc w:val="center"/>
        <w:tblInd w:w="-7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38"/>
        <w:gridCol w:w="1922"/>
        <w:gridCol w:w="1931"/>
        <w:gridCol w:w="980"/>
        <w:gridCol w:w="980"/>
        <w:gridCol w:w="1269"/>
        <w:gridCol w:w="892"/>
        <w:gridCol w:w="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65" w:hRule="atLeast"/>
          <w:jc w:val="center"/>
        </w:trPr>
        <w:tc>
          <w:tcPr>
            <w:tcW w:w="153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推广单位（或销售单位）</w:t>
            </w:r>
          </w:p>
        </w:tc>
        <w:tc>
          <w:tcPr>
            <w:tcW w:w="192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车辆类型</w:t>
            </w:r>
          </w:p>
        </w:tc>
        <w:tc>
          <w:tcPr>
            <w:tcW w:w="1931"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车辆型号</w:t>
            </w:r>
          </w:p>
        </w:tc>
        <w:tc>
          <w:tcPr>
            <w:tcW w:w="980"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推广数量</w:t>
            </w:r>
          </w:p>
        </w:tc>
        <w:tc>
          <w:tcPr>
            <w:tcW w:w="980"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申请补贴资金</w:t>
            </w:r>
          </w:p>
        </w:tc>
        <w:tc>
          <w:tcPr>
            <w:tcW w:w="1269"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其中：已补贴资金</w:t>
            </w:r>
          </w:p>
        </w:tc>
        <w:tc>
          <w:tcPr>
            <w:tcW w:w="89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需清算资金</w:t>
            </w:r>
          </w:p>
        </w:tc>
        <w:tc>
          <w:tcPr>
            <w:tcW w:w="535"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538" w:type="dxa"/>
            <w:vMerge w:val="restart"/>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92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93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26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5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538" w:type="dxa"/>
            <w:vMerge w:val="continue"/>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仿宋" w:hAnsi="仿宋" w:eastAsia="仿宋" w:cs="仿宋"/>
                <w:sz w:val="24"/>
                <w:szCs w:val="24"/>
              </w:rPr>
            </w:pPr>
          </w:p>
        </w:tc>
        <w:tc>
          <w:tcPr>
            <w:tcW w:w="192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93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26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5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538" w:type="dxa"/>
            <w:vMerge w:val="restart"/>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92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93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26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5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538" w:type="dxa"/>
            <w:vMerge w:val="continue"/>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仿宋" w:hAnsi="仿宋" w:eastAsia="仿宋" w:cs="仿宋"/>
                <w:sz w:val="24"/>
                <w:szCs w:val="24"/>
              </w:rPr>
            </w:pPr>
          </w:p>
        </w:tc>
        <w:tc>
          <w:tcPr>
            <w:tcW w:w="192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93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26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5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538" w:type="dxa"/>
            <w:vMerge w:val="restart"/>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92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93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26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5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538" w:type="dxa"/>
            <w:vMerge w:val="continue"/>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仿宋" w:hAnsi="仿宋" w:eastAsia="仿宋" w:cs="仿宋"/>
                <w:sz w:val="24"/>
                <w:szCs w:val="24"/>
              </w:rPr>
            </w:pPr>
          </w:p>
        </w:tc>
        <w:tc>
          <w:tcPr>
            <w:tcW w:w="192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93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26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5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1538"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w:t>
            </w:r>
          </w:p>
        </w:tc>
        <w:tc>
          <w:tcPr>
            <w:tcW w:w="192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93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26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5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538"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合       计</w:t>
            </w:r>
          </w:p>
        </w:tc>
        <w:tc>
          <w:tcPr>
            <w:tcW w:w="192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93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26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5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1538"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市推广应用牵头部门审核意见：</w:t>
            </w:r>
          </w:p>
        </w:tc>
        <w:tc>
          <w:tcPr>
            <w:tcW w:w="3853" w:type="dxa"/>
            <w:gridSpan w:val="2"/>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市财政部门审核意见：</w:t>
            </w:r>
          </w:p>
        </w:tc>
        <w:tc>
          <w:tcPr>
            <w:tcW w:w="4656" w:type="dxa"/>
            <w:gridSpan w:val="5"/>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市推广应用牵头部门联系人和联系电话：</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注：1、车辆类型按照本细则附件1的分类填写。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2、列入财政部门预算的行政、事业等单位以财政性资金购买新能源汽车的，需填列“车辆类型、车辆型号、推广数量”栏，并在“备注栏”标注“预算单位”；地方补贴均由省级财政负担的单位，在“备注栏”标注“省属”；经营汽车租赁业务的单位，在“备注栏”标注“租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附件2－2：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新能源汽车推广应用省级财政补贴资金申请汇总表（充电设施建设）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（填表日期：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推广应用城市：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单位：个、千瓦、万元</w:t>
      </w:r>
    </w:p>
    <w:tbl>
      <w:tblPr>
        <w:tblW w:w="10046" w:type="dxa"/>
        <w:jc w:val="center"/>
        <w:tblInd w:w="-7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796"/>
        <w:gridCol w:w="2807"/>
        <w:gridCol w:w="1120"/>
        <w:gridCol w:w="1380"/>
        <w:gridCol w:w="774"/>
        <w:gridCol w:w="1034"/>
        <w:gridCol w:w="1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jc w:val="center"/>
        </w:trPr>
        <w:tc>
          <w:tcPr>
            <w:tcW w:w="1796"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建设运营单位</w:t>
            </w:r>
          </w:p>
        </w:tc>
        <w:tc>
          <w:tcPr>
            <w:tcW w:w="2807" w:type="dxa"/>
            <w:vMerge w:val="restart"/>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建设地点</w:t>
            </w:r>
          </w:p>
        </w:tc>
        <w:tc>
          <w:tcPr>
            <w:tcW w:w="2500" w:type="dxa"/>
            <w:gridSpan w:val="2"/>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交流充电</w:t>
            </w:r>
          </w:p>
        </w:tc>
        <w:tc>
          <w:tcPr>
            <w:tcW w:w="1808" w:type="dxa"/>
            <w:gridSpan w:val="2"/>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直流充电</w:t>
            </w:r>
          </w:p>
        </w:tc>
        <w:tc>
          <w:tcPr>
            <w:tcW w:w="1135" w:type="dxa"/>
            <w:vMerge w:val="restart"/>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申请补贴资金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9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仿宋" w:hAnsi="仿宋" w:eastAsia="仿宋" w:cs="仿宋"/>
                <w:sz w:val="24"/>
                <w:szCs w:val="24"/>
              </w:rPr>
            </w:pPr>
          </w:p>
        </w:tc>
        <w:tc>
          <w:tcPr>
            <w:tcW w:w="2807" w:type="dxa"/>
            <w:vMerge w:val="continue"/>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桩数</w:t>
            </w:r>
          </w:p>
        </w:tc>
        <w:tc>
          <w:tcPr>
            <w:tcW w:w="13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总功率</w:t>
            </w: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桩数</w:t>
            </w:r>
          </w:p>
        </w:tc>
        <w:tc>
          <w:tcPr>
            <w:tcW w:w="1034"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总功率</w:t>
            </w:r>
          </w:p>
        </w:tc>
        <w:tc>
          <w:tcPr>
            <w:tcW w:w="1135" w:type="dxa"/>
            <w:vMerge w:val="continue"/>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jc w:val="center"/>
        </w:trPr>
        <w:tc>
          <w:tcPr>
            <w:tcW w:w="1796" w:type="dxa"/>
            <w:vMerge w:val="restart"/>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280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3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3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796" w:type="dxa"/>
            <w:vMerge w:val="continue"/>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仿宋" w:hAnsi="仿宋" w:eastAsia="仿宋" w:cs="仿宋"/>
                <w:sz w:val="24"/>
                <w:szCs w:val="24"/>
              </w:rPr>
            </w:pPr>
          </w:p>
        </w:tc>
        <w:tc>
          <w:tcPr>
            <w:tcW w:w="280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3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3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796" w:type="dxa"/>
            <w:vMerge w:val="restart"/>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280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3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3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796" w:type="dxa"/>
            <w:vMerge w:val="continue"/>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仿宋" w:hAnsi="仿宋" w:eastAsia="仿宋" w:cs="仿宋"/>
                <w:sz w:val="24"/>
                <w:szCs w:val="24"/>
              </w:rPr>
            </w:pPr>
          </w:p>
        </w:tc>
        <w:tc>
          <w:tcPr>
            <w:tcW w:w="280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3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3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796" w:type="dxa"/>
            <w:vMerge w:val="restart"/>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280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3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3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796" w:type="dxa"/>
            <w:vMerge w:val="continue"/>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仿宋" w:hAnsi="仿宋" w:eastAsia="仿宋" w:cs="仿宋"/>
                <w:sz w:val="24"/>
                <w:szCs w:val="24"/>
              </w:rPr>
            </w:pPr>
          </w:p>
        </w:tc>
        <w:tc>
          <w:tcPr>
            <w:tcW w:w="280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3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3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796" w:type="dxa"/>
            <w:vMerge w:val="restart"/>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280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3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3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796" w:type="dxa"/>
            <w:vMerge w:val="continue"/>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仿宋" w:hAnsi="仿宋" w:eastAsia="仿宋" w:cs="仿宋"/>
                <w:sz w:val="24"/>
                <w:szCs w:val="24"/>
              </w:rPr>
            </w:pPr>
          </w:p>
        </w:tc>
        <w:tc>
          <w:tcPr>
            <w:tcW w:w="280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3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3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796"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w:t>
            </w:r>
          </w:p>
        </w:tc>
        <w:tc>
          <w:tcPr>
            <w:tcW w:w="280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3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3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jc w:val="center"/>
        </w:trPr>
        <w:tc>
          <w:tcPr>
            <w:tcW w:w="1796"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合   计</w:t>
            </w:r>
          </w:p>
        </w:tc>
        <w:tc>
          <w:tcPr>
            <w:tcW w:w="280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38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3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3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jc w:val="center"/>
        </w:trPr>
        <w:tc>
          <w:tcPr>
            <w:tcW w:w="1796"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市推广应用牵头部门审核意见：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 </w:t>
            </w:r>
          </w:p>
        </w:tc>
        <w:tc>
          <w:tcPr>
            <w:tcW w:w="3927" w:type="dxa"/>
            <w:gridSpan w:val="2"/>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市财政部门审核意见：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 </w:t>
            </w:r>
          </w:p>
        </w:tc>
        <w:tc>
          <w:tcPr>
            <w:tcW w:w="4323" w:type="dxa"/>
            <w:gridSpan w:val="4"/>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市推广应用牵头部门联系人和联系电话：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附件3－1：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新能源汽车推广应用省级财政补贴资金申请表（车辆购置）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（201   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申请单位：（盖章）                            联系人及电话：</w:t>
      </w:r>
    </w:p>
    <w:tbl>
      <w:tblPr>
        <w:tblW w:w="10050" w:type="dxa"/>
        <w:jc w:val="center"/>
        <w:tblInd w:w="-7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58"/>
        <w:gridCol w:w="1643"/>
        <w:gridCol w:w="932"/>
        <w:gridCol w:w="774"/>
        <w:gridCol w:w="1203"/>
        <w:gridCol w:w="1123"/>
        <w:gridCol w:w="1605"/>
        <w:gridCol w:w="1120"/>
        <w:gridCol w:w="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0" w:hRule="atLeast"/>
          <w:jc w:val="center"/>
        </w:trPr>
        <w:tc>
          <w:tcPr>
            <w:tcW w:w="95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车辆类型</w:t>
            </w:r>
          </w:p>
        </w:tc>
        <w:tc>
          <w:tcPr>
            <w:tcW w:w="1643"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车辆型号</w:t>
            </w:r>
          </w:p>
        </w:tc>
        <w:tc>
          <w:tcPr>
            <w:tcW w:w="93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车长（米）</w:t>
            </w:r>
          </w:p>
        </w:tc>
        <w:tc>
          <w:tcPr>
            <w:tcW w:w="774"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Ekg</w:t>
            </w:r>
          </w:p>
        </w:tc>
        <w:tc>
          <w:tcPr>
            <w:tcW w:w="1203"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电池组容量（KWH）</w:t>
            </w:r>
          </w:p>
        </w:tc>
        <w:tc>
          <w:tcPr>
            <w:tcW w:w="1123"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续驶里程（公里）</w:t>
            </w:r>
          </w:p>
        </w:tc>
        <w:tc>
          <w:tcPr>
            <w:tcW w:w="1605"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车辆识别代码（VIN）</w:t>
            </w:r>
          </w:p>
        </w:tc>
        <w:tc>
          <w:tcPr>
            <w:tcW w:w="1120"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补贴标准（万元/辆）</w:t>
            </w:r>
          </w:p>
        </w:tc>
        <w:tc>
          <w:tcPr>
            <w:tcW w:w="692"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申请补贴资金（万元）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58"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64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3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20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60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6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58"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64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3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20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60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6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58"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64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3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20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60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6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58"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64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3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20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60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6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58"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64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3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20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60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6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58"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64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3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20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60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6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58"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合    计</w:t>
            </w:r>
          </w:p>
        </w:tc>
        <w:tc>
          <w:tcPr>
            <w:tcW w:w="164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w:t>
            </w:r>
          </w:p>
        </w:tc>
        <w:tc>
          <w:tcPr>
            <w:tcW w:w="93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w:t>
            </w:r>
          </w:p>
        </w:tc>
        <w:tc>
          <w:tcPr>
            <w:tcW w:w="77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w:t>
            </w:r>
          </w:p>
        </w:tc>
        <w:tc>
          <w:tcPr>
            <w:tcW w:w="120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w:t>
            </w:r>
          </w:p>
        </w:tc>
        <w:tc>
          <w:tcPr>
            <w:tcW w:w="1123"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w:t>
            </w:r>
          </w:p>
        </w:tc>
        <w:tc>
          <w:tcPr>
            <w:tcW w:w="1605"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w:t>
            </w:r>
          </w:p>
        </w:tc>
        <w:tc>
          <w:tcPr>
            <w:tcW w:w="112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w:t>
            </w:r>
          </w:p>
        </w:tc>
        <w:tc>
          <w:tcPr>
            <w:tcW w:w="6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注：车辆类型按照本细则附件1的分类填写。纯电动客车需填车长、Ekg、续驶里程；混合动力客车需填车长、续驶里程；乘用车需填续驶里程；专用车、货车需填电池组容量。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附件3－2：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新能源汽车推广应用省级财政补贴资金申请表（充电设施建设）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申请单位：（盖章）                  联系人及电话：               填表日期：</w:t>
      </w:r>
    </w:p>
    <w:tbl>
      <w:tblPr>
        <w:tblW w:w="10046" w:type="dxa"/>
        <w:jc w:val="center"/>
        <w:tblInd w:w="-7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59"/>
        <w:gridCol w:w="1591"/>
        <w:gridCol w:w="744"/>
        <w:gridCol w:w="1092"/>
        <w:gridCol w:w="816"/>
        <w:gridCol w:w="771"/>
        <w:gridCol w:w="948"/>
        <w:gridCol w:w="811"/>
        <w:gridCol w:w="757"/>
        <w:gridCol w:w="811"/>
        <w:gridCol w:w="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jc w:val="center"/>
        </w:trPr>
        <w:tc>
          <w:tcPr>
            <w:tcW w:w="959"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建设内容</w:t>
            </w:r>
          </w:p>
        </w:tc>
        <w:tc>
          <w:tcPr>
            <w:tcW w:w="1591" w:type="dxa"/>
            <w:vMerge w:val="restart"/>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建设地点</w:t>
            </w:r>
          </w:p>
        </w:tc>
        <w:tc>
          <w:tcPr>
            <w:tcW w:w="3423" w:type="dxa"/>
            <w:gridSpan w:val="4"/>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建设成本（万元）</w:t>
            </w:r>
          </w:p>
        </w:tc>
        <w:tc>
          <w:tcPr>
            <w:tcW w:w="1759" w:type="dxa"/>
            <w:gridSpan w:val="2"/>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交流充电</w:t>
            </w:r>
          </w:p>
        </w:tc>
        <w:tc>
          <w:tcPr>
            <w:tcW w:w="1568" w:type="dxa"/>
            <w:gridSpan w:val="2"/>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直流充电</w:t>
            </w:r>
          </w:p>
        </w:tc>
        <w:tc>
          <w:tcPr>
            <w:tcW w:w="746" w:type="dxa"/>
            <w:vMerge w:val="restart"/>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申请补贴资金（万元）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95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仿宋" w:hAnsi="仿宋" w:eastAsia="仿宋" w:cs="仿宋"/>
                <w:sz w:val="24"/>
                <w:szCs w:val="24"/>
              </w:rPr>
            </w:pPr>
          </w:p>
        </w:tc>
        <w:tc>
          <w:tcPr>
            <w:tcW w:w="1591" w:type="dxa"/>
            <w:vMerge w:val="continue"/>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rPr>
                <w:rFonts w:hint="eastAsia" w:ascii="仿宋" w:hAnsi="仿宋" w:eastAsia="仿宋" w:cs="仿宋"/>
                <w:sz w:val="24"/>
                <w:szCs w:val="24"/>
              </w:rPr>
            </w:pPr>
          </w:p>
        </w:tc>
        <w:tc>
          <w:tcPr>
            <w:tcW w:w="74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总成本</w:t>
            </w:r>
          </w:p>
        </w:tc>
        <w:tc>
          <w:tcPr>
            <w:tcW w:w="10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设备采购成本</w:t>
            </w:r>
          </w:p>
        </w:tc>
        <w:tc>
          <w:tcPr>
            <w:tcW w:w="81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电网增容成本</w:t>
            </w:r>
          </w:p>
        </w:tc>
        <w:tc>
          <w:tcPr>
            <w:tcW w:w="77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其它成本</w:t>
            </w:r>
          </w:p>
        </w:tc>
        <w:tc>
          <w:tcPr>
            <w:tcW w:w="948"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桩数（个）</w:t>
            </w:r>
          </w:p>
        </w:tc>
        <w:tc>
          <w:tcPr>
            <w:tcW w:w="811"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总功率（KW）</w:t>
            </w:r>
          </w:p>
        </w:tc>
        <w:tc>
          <w:tcPr>
            <w:tcW w:w="757"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桩数(个)</w:t>
            </w:r>
          </w:p>
        </w:tc>
        <w:tc>
          <w:tcPr>
            <w:tcW w:w="811"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总功率（KW）</w:t>
            </w:r>
          </w:p>
        </w:tc>
        <w:tc>
          <w:tcPr>
            <w:tcW w:w="746" w:type="dxa"/>
            <w:vMerge w:val="continue"/>
            <w:tcBorders>
              <w:top w:val="single" w:color="auto" w:sz="6" w:space="0"/>
              <w:left w:val="single" w:color="DDDDDD" w:sz="6" w:space="0"/>
              <w:bottom w:val="single" w:color="auto" w:sz="6" w:space="0"/>
              <w:right w:val="single" w:color="auto" w:sz="6" w:space="0"/>
            </w:tcBorders>
            <w:shd w:val="clear"/>
            <w:tcMar>
              <w:left w:w="105" w:type="dxa"/>
              <w:right w:w="105" w:type="dxa"/>
            </w:tcMar>
            <w:vAlign w:val="center"/>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959"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59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4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48"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5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4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959"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59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4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48"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5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4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959"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59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4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48"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5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4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959"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59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4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48"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5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4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959"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59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4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48"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5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4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959"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合    计</w:t>
            </w:r>
          </w:p>
        </w:tc>
        <w:tc>
          <w:tcPr>
            <w:tcW w:w="159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X</w:t>
            </w:r>
          </w:p>
        </w:tc>
        <w:tc>
          <w:tcPr>
            <w:tcW w:w="74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1092"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7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948"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57"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811"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c>
          <w:tcPr>
            <w:tcW w:w="746"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备注：设备采购成本包括配电设备、充换电设备、通讯设备、电缆（导线）购置费用等；其它成本包括站内设备安装、电缆（导线）施工、项目建设检测费及管理费等。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单位载质量能量消耗量评价指标说明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为更科学地评价纯电动汽车技术水平，特提出“单位载质量电能消耗量（Ekg）”指标，单位Wh/km·kg，四舍五入至小数点后两位。计算公式如下：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0"/>
        <w:jc w:val="center"/>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fldChar w:fldCharType="begin"/>
      </w:r>
      <w:r>
        <w:rPr>
          <w:rFonts w:hint="eastAsia" w:ascii="仿宋" w:hAnsi="仿宋" w:eastAsia="仿宋" w:cs="仿宋"/>
          <w:b w:val="0"/>
          <w:i w:val="0"/>
          <w:caps w:val="0"/>
          <w:color w:val="222222"/>
          <w:spacing w:val="0"/>
          <w:sz w:val="24"/>
          <w:szCs w:val="24"/>
          <w:bdr w:val="none" w:color="auto" w:sz="0" w:space="0"/>
          <w:shd w:val="clear" w:fill="FFFFFF"/>
        </w:rPr>
        <w:instrText xml:space="preserve">INCLUDEPICTURE \d "http://mmbiz.qpic.cn/mmbiz/jEYgxXmnprib6d7lToOReOIIOibz4KxZkqaBicu6PibHfFpcDTutP4AzELwadRom0YkeWibMVmPbVISibHmxdSPUdW0w/640?wx_fmt=png&amp;tp=webp&amp;wxfrom=5&amp;wx_lazy=1" \* MERGEFORMATINET </w:instrText>
      </w:r>
      <w:r>
        <w:rPr>
          <w:rFonts w:hint="eastAsia" w:ascii="仿宋" w:hAnsi="仿宋" w:eastAsia="仿宋" w:cs="仿宋"/>
          <w:b w:val="0"/>
          <w:i w:val="0"/>
          <w:caps w:val="0"/>
          <w:color w:val="222222"/>
          <w:spacing w:val="0"/>
          <w:sz w:val="24"/>
          <w:szCs w:val="24"/>
          <w:bdr w:val="none" w:color="auto" w:sz="0" w:space="0"/>
          <w:shd w:val="clear" w:fill="FFFFFF"/>
        </w:rPr>
        <w:fldChar w:fldCharType="separate"/>
      </w:r>
      <w:r>
        <w:rPr>
          <w:rFonts w:hint="eastAsia" w:ascii="仿宋" w:hAnsi="仿宋" w:eastAsia="仿宋" w:cs="仿宋"/>
          <w:b w:val="0"/>
          <w:i w:val="0"/>
          <w:caps w:val="0"/>
          <w:color w:val="222222"/>
          <w:spacing w:val="0"/>
          <w:sz w:val="24"/>
          <w:szCs w:val="24"/>
          <w:bdr w:val="none" w:color="auto" w:sz="0" w:space="0"/>
          <w:shd w:val="clear" w:fill="FFFFFF"/>
        </w:rPr>
        <w:drawing>
          <wp:inline distT="0" distB="0" distL="114300" distR="114300">
            <wp:extent cx="762000" cy="485775"/>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r:link="rId7"/>
                    <a:stretch>
                      <a:fillRect/>
                    </a:stretch>
                  </pic:blipFill>
                  <pic:spPr>
                    <a:xfrm>
                      <a:off x="0" y="0"/>
                      <a:ext cx="762000" cy="485775"/>
                    </a:xfrm>
                    <a:prstGeom prst="rect">
                      <a:avLst/>
                    </a:prstGeom>
                    <a:noFill/>
                    <a:ln w="9525">
                      <a:noFill/>
                      <a:miter/>
                    </a:ln>
                  </pic:spPr>
                </pic:pic>
              </a:graphicData>
            </a:graphic>
          </wp:inline>
        </w:drawing>
      </w:r>
      <w:r>
        <w:rPr>
          <w:rFonts w:hint="eastAsia" w:ascii="仿宋" w:hAnsi="仿宋" w:eastAsia="仿宋" w:cs="仿宋"/>
          <w:b w:val="0"/>
          <w:i w:val="0"/>
          <w:caps w:val="0"/>
          <w:color w:val="222222"/>
          <w:spacing w:val="0"/>
          <w:sz w:val="24"/>
          <w:szCs w:val="24"/>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E表示电能消耗率，试验检测项。电动汽车GB/T 18386《电动汽车能量消耗率和续驶里程试验方法》试验中消耗的电能除以行驶里程所得的值，单位Wh/km（乘用车、专用车采用工况法，客车采用40km/h等速法测试）；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M表示附加质量，车辆基本参数。GB/T 18386检测试验中的所需附加质量，单位kg，具体计算如下：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 1.最大允许装载质量小于或等于180kg，附加质量=最大允许装载质量；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 2.最大允许装载质量大于180kg，但小于360kg，附加质量=180kg；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 3.最大允许装载质量大于或等于360kg，附加质量=1/2最大允许装载质量。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注：按GB/T 3730.2《道路车辆 质量 词汇和代码》中定义：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color w:val="222222"/>
          <w:sz w:val="24"/>
          <w:szCs w:val="24"/>
        </w:rPr>
      </w:pPr>
      <w:r>
        <w:rPr>
          <w:rFonts w:hint="eastAsia" w:ascii="仿宋" w:hAnsi="仿宋" w:eastAsia="仿宋" w:cs="仿宋"/>
          <w:b w:val="0"/>
          <w:i w:val="0"/>
          <w:caps w:val="0"/>
          <w:color w:val="222222"/>
          <w:spacing w:val="0"/>
          <w:sz w:val="24"/>
          <w:szCs w:val="24"/>
          <w:bdr w:val="none" w:color="auto" w:sz="0" w:space="0"/>
          <w:shd w:val="clear" w:fill="FFFFFF"/>
        </w:rPr>
        <w:t>最大允许装载质量=最大允许总质量-整车整备质量。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hint="eastAsia" w:ascii="仿宋" w:hAnsi="仿宋" w:eastAsia="仿宋" w:cs="仿宋"/>
          <w:sz w:val="24"/>
          <w:szCs w:val="24"/>
        </w:rPr>
      </w:pPr>
      <w:r>
        <w:rPr>
          <w:rFonts w:hint="eastAsia" w:ascii="仿宋" w:hAnsi="仿宋" w:eastAsia="仿宋" w:cs="仿宋"/>
          <w:b w:val="0"/>
          <w:i w:val="0"/>
          <w:caps w:val="0"/>
          <w:color w:val="222222"/>
          <w:spacing w:val="0"/>
          <w:sz w:val="24"/>
          <w:szCs w:val="24"/>
          <w:bdr w:val="none" w:color="auto" w:sz="0" w:space="0"/>
          <w:shd w:val="clear" w:fill="FFFFFF"/>
        </w:rPr>
        <w:t>（来源：电动汽车资源网）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6985822">
    <w:nsid w:val="56D7D6DE"/>
    <w:multiLevelType w:val="singleLevel"/>
    <w:tmpl w:val="56D7D6DE"/>
    <w:lvl w:ilvl="0" w:tentative="1">
      <w:start w:val="2"/>
      <w:numFmt w:val="chineseCounting"/>
      <w:suff w:val="nothing"/>
      <w:lvlText w:val="%1、"/>
      <w:lvlJc w:val="left"/>
    </w:lvl>
  </w:abstractNum>
  <w:num w:numId="1">
    <w:abstractNumId w:val="14569858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D53A0"/>
    <w:rsid w:val="04ED53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http://mmbiz.qpic.cn/mmbiz/jEYgxXmnprib6d7lToOReOIIOibz4KxZkqaBicu6PibHfFpcDTutP4AzELwadRom0YkeWibMVmPbVISibHmxdSPUdW0w/640?wx_fmt=png&amp;tp=webp&amp;wxfrom=5&amp;wx_lazy=1" TargetMode="External"/><Relationship Id="rId6" Type="http://schemas.openxmlformats.org/officeDocument/2006/relationships/image" Target="media/image2.jpeg"/><Relationship Id="rId5" Type="http://schemas.openxmlformats.org/officeDocument/2006/relationships/image" Target="C:\Users\lenovo-101\AppData\Roaming\Tencent\Users\1285107047\QQ\WinTemp\RichOle\%CNIONP$33R[EIMJ8BTQ[3I.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2016-03-03T06:05:00Z</dcterms:created>
  <dc:creator>lenovo-101</dc:creator>
  <cp:lastModifiedBy>lenovo-101</cp:lastModifiedBy>
  <dcterms:modified xsi:type="dcterms:W3CDTF">2016-03-03T06:18:08Z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