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5" w:lineRule="atLeast"/>
        <w:ind w:left="0" w:right="0"/>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color w:val="00B050"/>
          <w:sz w:val="32"/>
          <w:szCs w:val="32"/>
          <w:shd w:val="clear" w:fill="FFFFFF"/>
          <w:lang w:val="en-US" w:eastAsia="zh-CN"/>
        </w:rPr>
        <w:t>2016</w:t>
      </w:r>
      <w:r>
        <w:rPr>
          <w:rFonts w:hint="eastAsia" w:asciiTheme="majorEastAsia" w:hAnsiTheme="majorEastAsia" w:eastAsiaTheme="majorEastAsia" w:cstheme="majorEastAsia"/>
          <w:b/>
          <w:color w:val="00B050"/>
          <w:sz w:val="32"/>
          <w:szCs w:val="32"/>
          <w:shd w:val="clear" w:fill="FFFFFF"/>
        </w:rPr>
        <w:t>年天津新能源车将不限行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3E3E3E"/>
          <w:sz w:val="32"/>
          <w:szCs w:val="32"/>
          <w:shd w:val="clear" w:fill="FFFFFF"/>
          <w:lang w:val="en-US" w:eastAsia="zh-CN"/>
        </w:rPr>
        <w:t>2015年</w:t>
      </w:r>
      <w:r>
        <w:rPr>
          <w:rFonts w:hint="eastAsia" w:asciiTheme="majorEastAsia" w:hAnsiTheme="majorEastAsia" w:eastAsiaTheme="majorEastAsia" w:cstheme="majorEastAsia"/>
          <w:color w:val="3E3E3E"/>
          <w:sz w:val="32"/>
          <w:szCs w:val="32"/>
          <w:shd w:val="clear" w:fill="FFFFFF"/>
        </w:rPr>
        <w:t>12月29日，天津交管局发布关于新能源汽车不受机动车尾号限行等交通管理措施限制的通告。通告明确，自2016年1月1日起，天津市核发号牌的新能源汽车不受机动车尾号限行管理措施。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3E3E3E"/>
          <w:sz w:val="32"/>
          <w:szCs w:val="32"/>
          <w:shd w:val="clear" w:fill="FFFFFF"/>
        </w:rPr>
        <w:t>通告还指出，天津市核发号牌的纯电动轻型、微型厢式货运机动车和纯电动轻型、微型封闭式货运机动车不受外环线以内道路每日7时至22时货运机动车限行措施限制，不受外环线上每日7时至19时货运机动车限行措施限制。</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3E3E3E"/>
          <w:kern w:val="0"/>
          <w:sz w:val="32"/>
          <w:szCs w:val="32"/>
          <w:shd w:val="clear" w:fill="FFFFFF"/>
          <w:lang w:val="en-US" w:eastAsia="zh-CN" w:bidi="ar"/>
        </w:rPr>
        <w:fldChar w:fldCharType="begin"/>
      </w:r>
      <w:r>
        <w:rPr>
          <w:rFonts w:hint="eastAsia" w:asciiTheme="majorEastAsia" w:hAnsiTheme="majorEastAsia" w:eastAsiaTheme="majorEastAsia" w:cstheme="majorEastAsia"/>
          <w:color w:val="3E3E3E"/>
          <w:kern w:val="0"/>
          <w:sz w:val="32"/>
          <w:szCs w:val="32"/>
          <w:shd w:val="clear" w:fill="FFFFFF"/>
          <w:lang w:val="en-US" w:eastAsia="zh-CN" w:bidi="ar"/>
        </w:rPr>
        <w:instrText xml:space="preserve">INCLUDEPICTURE \d "http://mmbiz.qpic.cn/mmbiz/OjO6NMe49TzSEE41Z6X0nqibJM4cK11vqpQAfCMpo5wic4SJDiaIuxs3XZRmLl5ToEsTGGtz4dTWiaIWguficzGlFLw/640?wx_fmt=jpeg&amp;tp=webp&amp;wxfrom=5&amp;wx_lazy=1" \* MERGEFORMATINET </w:instrText>
      </w:r>
      <w:r>
        <w:rPr>
          <w:rFonts w:hint="eastAsia" w:asciiTheme="majorEastAsia" w:hAnsiTheme="majorEastAsia" w:eastAsiaTheme="majorEastAsia" w:cstheme="majorEastAsia"/>
          <w:color w:val="3E3E3E"/>
          <w:kern w:val="0"/>
          <w:sz w:val="32"/>
          <w:szCs w:val="32"/>
          <w:shd w:val="clear" w:fill="FFFFFF"/>
          <w:lang w:val="en-US" w:eastAsia="zh-CN" w:bidi="ar"/>
        </w:rPr>
        <w:fldChar w:fldCharType="separate"/>
      </w:r>
      <w:r>
        <w:rPr>
          <w:rFonts w:hint="eastAsia" w:asciiTheme="majorEastAsia" w:hAnsiTheme="majorEastAsia" w:eastAsiaTheme="majorEastAsia" w:cstheme="majorEastAsia"/>
          <w:color w:val="3E3E3E"/>
          <w:kern w:val="0"/>
          <w:sz w:val="32"/>
          <w:szCs w:val="32"/>
          <w:shd w:val="clear" w:fill="FFFFFF"/>
          <w:lang w:val="en-US" w:eastAsia="zh-CN" w:bidi="ar"/>
        </w:rPr>
        <w:drawing>
          <wp:inline distT="0" distB="0" distL="114300" distR="114300">
            <wp:extent cx="304800" cy="304800"/>
            <wp:effectExtent l="0" t="0" r="0" b="0"/>
            <wp:docPr id="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
                    <pic:cNvPicPr>
                      <a:picLocks noChangeAspect="1"/>
                    </pic:cNvPicPr>
                  </pic:nvPicPr>
                  <pic:blipFill>
                    <a:blip r:embed="rId4" r:link="rId5"/>
                    <a:stretch>
                      <a:fillRect/>
                    </a:stretch>
                  </pic:blipFill>
                  <pic:spPr>
                    <a:xfrm>
                      <a:off x="0" y="0"/>
                      <a:ext cx="304800" cy="304800"/>
                    </a:xfrm>
                    <a:prstGeom prst="rect">
                      <a:avLst/>
                    </a:prstGeom>
                    <a:noFill/>
                    <a:ln w="9525">
                      <a:noFill/>
                      <a:miter/>
                    </a:ln>
                  </pic:spPr>
                </pic:pic>
              </a:graphicData>
            </a:graphic>
          </wp:inline>
        </w:drawing>
      </w:r>
      <w:r>
        <w:rPr>
          <w:rFonts w:hint="eastAsia" w:asciiTheme="majorEastAsia" w:hAnsiTheme="majorEastAsia" w:eastAsiaTheme="majorEastAsia" w:cstheme="majorEastAsia"/>
          <w:color w:val="3E3E3E"/>
          <w:kern w:val="0"/>
          <w:sz w:val="32"/>
          <w:szCs w:val="32"/>
          <w:shd w:val="clear" w:fill="FFFFFF"/>
          <w:lang w:val="en-US" w:eastAsia="zh-CN" w:bidi="ar"/>
        </w:rPr>
        <w:fldChar w:fldCharType="end"/>
      </w:r>
    </w:p>
    <w:p>
      <w:pPr>
        <w:jc w:val="center"/>
        <w:rPr>
          <w:rFonts w:hint="eastAsia" w:eastAsiaTheme="minorEastAsia"/>
          <w:lang w:eastAsia="zh-CN"/>
        </w:rPr>
      </w:pPr>
      <w:r>
        <w:rPr>
          <w:rFonts w:hint="eastAsia" w:eastAsiaTheme="minorEastAsia"/>
          <w:lang w:eastAsia="zh-CN"/>
        </w:rPr>
        <w:drawing>
          <wp:inline distT="0" distB="0" distL="114300" distR="114300">
            <wp:extent cx="4134485" cy="5572760"/>
            <wp:effectExtent l="0" t="0" r="18415" b="8890"/>
            <wp:docPr id="1" name="图片 1" descr="56829211b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829211b4c20"/>
                    <pic:cNvPicPr>
                      <a:picLocks noChangeAspect="1"/>
                    </pic:cNvPicPr>
                  </pic:nvPicPr>
                  <pic:blipFill>
                    <a:blip r:embed="rId6"/>
                    <a:stretch>
                      <a:fillRect/>
                    </a:stretch>
                  </pic:blipFill>
                  <pic:spPr>
                    <a:xfrm>
                      <a:off x="0" y="0"/>
                      <a:ext cx="4134485" cy="5572760"/>
                    </a:xfrm>
                    <a:prstGeom prst="rect">
                      <a:avLst/>
                    </a:prstGeom>
                  </pic:spPr>
                </pic:pic>
              </a:graphicData>
            </a:graphic>
          </wp:inline>
        </w:drawing>
      </w:r>
    </w:p>
    <w:p>
      <w:pPr>
        <w:jc w:val="left"/>
        <w:rPr>
          <w:rFonts w:hint="eastAsia" w:eastAsiaTheme="minorEastAsia"/>
          <w:lang w:eastAsia="zh-CN"/>
        </w:rPr>
      </w:pPr>
      <w:r>
        <w:rPr>
          <w:rFonts w:ascii="微软雅黑" w:hAnsi="微软雅黑" w:eastAsia="微软雅黑" w:cs="微软雅黑"/>
          <w:b w:val="0"/>
          <w:i w:val="0"/>
          <w:caps w:val="0"/>
          <w:color w:val="333333"/>
          <w:spacing w:val="0"/>
          <w:sz w:val="24"/>
          <w:szCs w:val="24"/>
          <w:shd w:val="clear" w:fill="FFFFFF"/>
        </w:rPr>
        <w:t>今年3月国家交通运输部发布的《关于加快推进新能源汽车在交通运输行业推广应用的实施意见》提出，对新能源汽车不限行、不限购。9月29日李克强总理在国务院常务会议上明确提出：“各地不得对新能源汽车实行限行、限购，已实行的应当取消”。10月22日在全国新能源汽车产业发展工作座谈会上又再次批示。响应总理号召，北京等多个城市已实行新能源汽车不限行政策，北京深圳也已经取消了原来执行的限购政策。本次天津实施新能源汽车不限行政策，也正是响应了总理的号召。</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C53A0"/>
    <w:rsid w:val="25BA2481"/>
    <w:rsid w:val="4DD77BB1"/>
    <w:rsid w:val="70CC53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http://mmbiz.qpic.cn/mmbiz/OjO6NMe49TzSEE41Z6X0nqibJM4cK11vqpQAfCMpo5wic4SJDiaIuxs3XZRmLl5ToEsTGGtz4dTWiaIWguficzGlFLw/640?wx_fmt=jpeg&amp;tp=webp&amp;wxfrom=5&amp;wx_lazy=1"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2016-01-21T02:26:00Z</dcterms:created>
  <dc:creator>Administrator</dc:creator>
  <cp:lastModifiedBy>Administrator</cp:lastModifiedBy>
  <dcterms:modified xsi:type="dcterms:W3CDTF">2016-02-16T08:37:18Z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