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widowControl/>
        <w:suppressLineNumbers w:val="0"/>
        <w:spacing w:before="0" w:beforeAutospacing="0" w:after="0" w:afterAutospacing="0" w:line="540" w:lineRule="atLeast"/>
        <w:ind w:left="300" w:right="300"/>
        <w:jc w:val="center"/>
      </w:pPr>
      <w:r>
        <w:rPr>
          <w:rFonts w:hint="eastAsia" w:ascii="Times New Roman" w:hAnsi="宋体" w:eastAsia="宋体" w:cs="宋体"/>
          <w:color w:val="000000"/>
          <w:kern w:val="0"/>
          <w:sz w:val="24"/>
          <w:szCs w:val="24"/>
          <w:shd w:val="clear" w:fill="FFFFFF"/>
          <w:lang w:val="en-US" w:eastAsia="zh-CN" w:bidi="ar"/>
        </w:rPr>
        <w:t>渝府办发〔</w:t>
      </w:r>
      <w:r>
        <w:rPr>
          <w:rFonts w:hint="eastAsia" w:ascii="宋体" w:hAnsi="宋体" w:eastAsia="宋体" w:cs="宋体"/>
          <w:color w:val="000000"/>
          <w:kern w:val="0"/>
          <w:sz w:val="24"/>
          <w:szCs w:val="24"/>
          <w:shd w:val="clear" w:fill="FFFFFF"/>
          <w:lang w:val="en-US" w:eastAsia="zh-CN" w:bidi="ar"/>
        </w:rPr>
        <w:t>2015</w:t>
      </w:r>
      <w:r>
        <w:rPr>
          <w:rFonts w:hint="eastAsia" w:ascii="Times New Roman" w:hAnsi="宋体" w:eastAsia="宋体" w:cs="宋体"/>
          <w:color w:val="000000"/>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212</w:t>
      </w:r>
      <w:r>
        <w:rPr>
          <w:rFonts w:hint="eastAsia" w:ascii="Times New Roman" w:hAnsi="宋体" w:eastAsia="宋体" w:cs="宋体"/>
          <w:color w:val="000000"/>
          <w:kern w:val="0"/>
          <w:sz w:val="24"/>
          <w:szCs w:val="24"/>
          <w:shd w:val="clear" w:fill="FFFFFF"/>
          <w:lang w:val="en-US" w:eastAsia="zh-CN" w:bidi="ar"/>
        </w:rPr>
        <w:t>号</w:t>
      </w:r>
    </w:p>
    <w:p>
      <w:pPr>
        <w:keepNext w:val="0"/>
        <w:keepLines w:val="0"/>
        <w:widowControl/>
        <w:suppressLineNumbers w:val="0"/>
        <w:spacing w:before="0" w:beforeAutospacing="0" w:after="0" w:afterAutospacing="0" w:line="540" w:lineRule="atLeast"/>
        <w:ind w:left="300" w:right="300"/>
        <w:jc w:val="left"/>
      </w:pPr>
      <w:r>
        <w:rPr>
          <w:rFonts w:hint="eastAsia" w:ascii="宋体" w:hAnsi="宋体" w:eastAsia="宋体" w:cs="宋体"/>
          <w:color w:val="000000"/>
          <w:kern w:val="0"/>
          <w:sz w:val="24"/>
          <w:szCs w:val="24"/>
          <w:shd w:val="clear" w:fill="FFFFFF"/>
          <w:lang w:val="en-US" w:eastAsia="zh-CN" w:bidi="ar"/>
        </w:rPr>
        <w:t> </w:t>
      </w:r>
      <w:bookmarkStart w:id="0" w:name="_GoBack"/>
      <w:bookmarkEnd w:id="0"/>
    </w:p>
    <w:p>
      <w:pPr>
        <w:keepNext w:val="0"/>
        <w:keepLines w:val="0"/>
        <w:widowControl/>
        <w:suppressLineNumbers w:val="0"/>
        <w:spacing w:before="0" w:beforeAutospacing="0" w:after="0" w:afterAutospacing="0" w:line="560" w:lineRule="exact"/>
        <w:ind w:left="300" w:right="300"/>
        <w:jc w:val="center"/>
      </w:pPr>
      <w:r>
        <w:rPr>
          <w:rFonts w:ascii="Times New Roman" w:hAnsi="宋体" w:eastAsia="黑体" w:cs="黑体"/>
          <w:color w:val="000000"/>
          <w:kern w:val="0"/>
          <w:sz w:val="42"/>
          <w:szCs w:val="42"/>
          <w:shd w:val="clear" w:fill="FFFFFF"/>
          <w:lang w:val="en-US" w:eastAsia="zh-CN" w:bidi="ar"/>
        </w:rPr>
        <w:t>重庆市人民政府办公厅</w:t>
      </w:r>
    </w:p>
    <w:p>
      <w:pPr>
        <w:keepNext w:val="0"/>
        <w:keepLines w:val="0"/>
        <w:widowControl/>
        <w:suppressLineNumbers w:val="0"/>
        <w:spacing w:before="0" w:beforeAutospacing="0" w:after="0" w:afterAutospacing="0" w:line="560" w:lineRule="exact"/>
        <w:ind w:left="300" w:right="300"/>
        <w:jc w:val="center"/>
      </w:pPr>
      <w:r>
        <w:rPr>
          <w:rFonts w:hint="eastAsia" w:ascii="Times New Roman" w:hAnsi="宋体" w:eastAsia="黑体" w:cs="黑体"/>
          <w:color w:val="000000"/>
          <w:kern w:val="0"/>
          <w:sz w:val="42"/>
          <w:szCs w:val="42"/>
          <w:shd w:val="clear" w:fill="FFFFFF"/>
          <w:lang w:val="en-US" w:eastAsia="zh-CN" w:bidi="ar"/>
        </w:rPr>
        <w:t>关于印发重庆市加快电动汽车</w:t>
      </w:r>
    </w:p>
    <w:p>
      <w:pPr>
        <w:keepNext w:val="0"/>
        <w:keepLines w:val="0"/>
        <w:widowControl/>
        <w:suppressLineNumbers w:val="0"/>
        <w:spacing w:before="0" w:beforeAutospacing="0" w:after="0" w:afterAutospacing="0" w:line="560" w:lineRule="exact"/>
        <w:ind w:left="300" w:right="300"/>
        <w:jc w:val="center"/>
      </w:pPr>
      <w:r>
        <w:rPr>
          <w:rFonts w:hint="eastAsia" w:ascii="Times New Roman" w:hAnsi="宋体" w:eastAsia="黑体" w:cs="黑体"/>
          <w:color w:val="000000"/>
          <w:kern w:val="0"/>
          <w:sz w:val="42"/>
          <w:szCs w:val="42"/>
          <w:shd w:val="clear" w:fill="FFFFFF"/>
          <w:lang w:val="en-US" w:eastAsia="zh-CN" w:bidi="ar"/>
        </w:rPr>
        <w:t>充电基础设施建设实施方案的通知</w:t>
      </w:r>
    </w:p>
    <w:p>
      <w:pPr>
        <w:keepNext w:val="0"/>
        <w:keepLines w:val="0"/>
        <w:widowControl/>
        <w:suppressLineNumbers w:val="0"/>
        <w:spacing w:before="0" w:beforeAutospacing="0" w:after="0" w:afterAutospacing="0" w:line="540" w:lineRule="exact"/>
        <w:ind w:left="300" w:right="300" w:firstLine="632" w:firstLineChars="200"/>
        <w:jc w:val="left"/>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spacing w:before="0" w:beforeAutospacing="0" w:after="0" w:afterAutospacing="0" w:line="540" w:lineRule="exact"/>
        <w:ind w:left="300" w:right="300"/>
        <w:jc w:val="left"/>
      </w:pPr>
      <w:r>
        <w:rPr>
          <w:rFonts w:hint="eastAsia" w:ascii="Times New Roman" w:hAnsi="宋体" w:eastAsia="宋体" w:cs="宋体"/>
          <w:color w:val="000000"/>
          <w:kern w:val="0"/>
          <w:sz w:val="24"/>
          <w:szCs w:val="24"/>
          <w:shd w:val="clear" w:fill="FFFFFF"/>
          <w:lang w:val="en-US" w:eastAsia="zh-CN" w:bidi="ar"/>
        </w:rPr>
        <w:t>各区县（自治县）人民政府，市政府有关部门，有关单位：</w:t>
      </w:r>
    </w:p>
    <w:p>
      <w:pPr>
        <w:keepNext w:val="0"/>
        <w:keepLines w:val="0"/>
        <w:widowControl/>
        <w:suppressLineNumbers w:val="0"/>
        <w:spacing w:before="0" w:beforeAutospacing="0" w:after="0" w:afterAutospacing="0" w:line="540" w:lineRule="exac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《重庆市加快电动汽车充电基础设施建设实施方案》已经市政府同意，现印发给你们，请认真贯彻执行。</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spacing w:before="0" w:beforeAutospacing="0" w:after="0" w:afterAutospacing="0" w:line="540" w:lineRule="atLeast"/>
        <w:ind w:left="300" w:right="1318" w:rightChars="322" w:firstLine="632" w:firstLineChars="200"/>
        <w:jc w:val="right"/>
      </w:pPr>
      <w:r>
        <w:rPr>
          <w:rFonts w:hint="eastAsia" w:ascii="Times New Roman" w:hAnsi="宋体" w:eastAsia="宋体" w:cs="宋体"/>
          <w:color w:val="000000"/>
          <w:kern w:val="0"/>
          <w:sz w:val="24"/>
          <w:szCs w:val="24"/>
          <w:shd w:val="clear" w:fill="FFFFFF"/>
          <w:lang w:val="en-US" w:eastAsia="zh-CN" w:bidi="ar"/>
        </w:rPr>
        <w:t>重庆市人民政府办公厅</w:t>
      </w:r>
    </w:p>
    <w:p>
      <w:pPr>
        <w:keepNext w:val="0"/>
        <w:keepLines w:val="0"/>
        <w:widowControl/>
        <w:suppressLineNumbers w:val="0"/>
        <w:spacing w:before="0" w:beforeAutospacing="0" w:after="0" w:afterAutospacing="0" w:line="540" w:lineRule="atLeast"/>
        <w:ind w:left="300" w:right="1318" w:rightChars="322" w:firstLine="632" w:firstLineChars="200"/>
        <w:jc w:val="right"/>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spacing w:before="0" w:beforeAutospacing="0" w:after="0" w:afterAutospacing="0" w:line="540" w:lineRule="atLeast"/>
        <w:ind w:left="300" w:right="1564" w:rightChars="400" w:firstLine="632" w:firstLineChars="200"/>
        <w:jc w:val="right"/>
      </w:pPr>
      <w:r>
        <w:rPr>
          <w:rFonts w:hint="eastAsia" w:ascii="宋体" w:hAnsi="宋体" w:eastAsia="宋体" w:cs="宋体"/>
          <w:color w:val="000000"/>
          <w:kern w:val="0"/>
          <w:sz w:val="24"/>
          <w:szCs w:val="24"/>
          <w:shd w:val="clear" w:fill="FFFFFF"/>
          <w:lang w:val="en-US" w:eastAsia="zh-CN" w:bidi="ar"/>
        </w:rPr>
        <w:t>2015</w:t>
      </w:r>
      <w:r>
        <w:rPr>
          <w:rFonts w:hint="eastAsia" w:ascii="Times New Roman" w:hAnsi="宋体" w:eastAsia="宋体" w:cs="宋体"/>
          <w:color w:val="000000"/>
          <w:kern w:val="0"/>
          <w:sz w:val="24"/>
          <w:szCs w:val="24"/>
          <w:shd w:val="clear" w:fill="FFFFFF"/>
          <w:lang w:val="en-US" w:eastAsia="zh-CN" w:bidi="ar"/>
        </w:rPr>
        <w:t>月</w:t>
      </w:r>
      <w:r>
        <w:rPr>
          <w:rFonts w:hint="eastAsia" w:ascii="宋体" w:hAnsi="宋体" w:eastAsia="宋体" w:cs="宋体"/>
          <w:color w:val="000000"/>
          <w:kern w:val="0"/>
          <w:sz w:val="24"/>
          <w:szCs w:val="24"/>
          <w:shd w:val="clear" w:fill="FFFFFF"/>
          <w:lang w:val="en-US" w:eastAsia="zh-CN" w:bidi="ar"/>
        </w:rPr>
        <w:t>12</w:t>
      </w:r>
      <w:r>
        <w:rPr>
          <w:rFonts w:hint="eastAsia" w:ascii="Times New Roman" w:hAnsi="宋体" w:eastAsia="宋体" w:cs="宋体"/>
          <w:color w:val="000000"/>
          <w:kern w:val="0"/>
          <w:sz w:val="24"/>
          <w:szCs w:val="24"/>
          <w:shd w:val="clear" w:fill="FFFFFF"/>
          <w:lang w:val="en-US" w:eastAsia="zh-CN" w:bidi="ar"/>
        </w:rPr>
        <w:t>月</w:t>
      </w:r>
      <w:r>
        <w:rPr>
          <w:rFonts w:hint="eastAsia" w:ascii="宋体" w:hAnsi="宋体" w:eastAsia="宋体" w:cs="宋体"/>
          <w:color w:val="000000"/>
          <w:kern w:val="0"/>
          <w:sz w:val="24"/>
          <w:szCs w:val="24"/>
          <w:shd w:val="clear" w:fill="FFFFFF"/>
          <w:lang w:val="en-US" w:eastAsia="zh-CN" w:bidi="ar"/>
        </w:rPr>
        <w:t>30</w:t>
      </w:r>
      <w:r>
        <w:rPr>
          <w:rFonts w:hint="eastAsia" w:ascii="Times New Roman" w:hAnsi="宋体" w:eastAsia="宋体" w:cs="宋体"/>
          <w:color w:val="000000"/>
          <w:kern w:val="0"/>
          <w:sz w:val="24"/>
          <w:szCs w:val="24"/>
          <w:shd w:val="clear" w:fill="FFFFFF"/>
          <w:lang w:val="en-US" w:eastAsia="zh-CN" w:bidi="ar"/>
        </w:rPr>
        <w:t>日</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（此件公开发布）</w:t>
      </w:r>
    </w:p>
    <w:p>
      <w:pPr>
        <w:keepNext w:val="0"/>
        <w:keepLines w:val="0"/>
        <w:widowControl/>
        <w:suppressLineNumbers w:val="0"/>
        <w:spacing w:before="0" w:beforeAutospacing="0" w:after="0" w:afterAutospacing="0" w:line="590" w:lineRule="exact"/>
        <w:ind w:left="300" w:right="300"/>
        <w:jc w:val="center"/>
      </w:pPr>
      <w:r>
        <w:rPr>
          <w:rFonts w:hint="eastAsia" w:ascii="宋体" w:hAnsi="宋体" w:eastAsia="宋体" w:cs="宋体"/>
          <w:color w:val="000000"/>
          <w:sz w:val="21"/>
          <w:szCs w:val="21"/>
          <w:shd w:val="clear" w:fill="FFFFFF"/>
        </w:rPr>
        <w:br w:type="page"/>
      </w:r>
      <w:r>
        <w:rPr>
          <w:rFonts w:hint="eastAsia" w:ascii="Times New Roman" w:hAnsi="宋体" w:eastAsia="黑体" w:cs="黑体"/>
          <w:color w:val="000000"/>
          <w:kern w:val="0"/>
          <w:sz w:val="42"/>
          <w:szCs w:val="42"/>
          <w:shd w:val="clear" w:fill="FFFFFF"/>
          <w:lang w:val="en-US" w:eastAsia="zh-CN" w:bidi="ar"/>
        </w:rPr>
        <w:t>重庆市加快电动汽车</w:t>
      </w:r>
    </w:p>
    <w:p>
      <w:pPr>
        <w:keepNext w:val="0"/>
        <w:keepLines w:val="0"/>
        <w:widowControl/>
        <w:suppressLineNumbers w:val="0"/>
        <w:spacing w:before="0" w:beforeAutospacing="0" w:after="0" w:afterAutospacing="0" w:line="590" w:lineRule="exact"/>
        <w:ind w:left="300" w:right="300"/>
        <w:jc w:val="center"/>
      </w:pPr>
      <w:r>
        <w:rPr>
          <w:rFonts w:hint="eastAsia" w:ascii="Times New Roman" w:hAnsi="宋体" w:eastAsia="黑体" w:cs="黑体"/>
          <w:color w:val="000000"/>
          <w:kern w:val="0"/>
          <w:sz w:val="42"/>
          <w:szCs w:val="42"/>
          <w:shd w:val="clear" w:fill="FFFFFF"/>
          <w:lang w:val="en-US" w:eastAsia="zh-CN" w:bidi="ar"/>
        </w:rPr>
        <w:t>充电基础设施建设实施方案</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为贯彻落实《国务院办公厅关于加快电动汽车充电基础设施建设的指导意见》（国办发〔</w:t>
      </w:r>
      <w:r>
        <w:rPr>
          <w:rFonts w:hint="eastAsia" w:ascii="宋体" w:hAnsi="宋体" w:eastAsia="宋体" w:cs="宋体"/>
          <w:color w:val="000000"/>
          <w:kern w:val="0"/>
          <w:sz w:val="24"/>
          <w:szCs w:val="24"/>
          <w:shd w:val="clear" w:fill="FFFFFF"/>
          <w:lang w:val="en-US" w:eastAsia="zh-CN" w:bidi="ar"/>
        </w:rPr>
        <w:t>2015</w:t>
      </w:r>
      <w:r>
        <w:rPr>
          <w:rFonts w:hint="eastAsia" w:ascii="Times New Roman" w:hAnsi="宋体" w:eastAsia="宋体" w:cs="宋体"/>
          <w:color w:val="000000"/>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73</w:t>
      </w:r>
      <w:r>
        <w:rPr>
          <w:rFonts w:hint="eastAsia" w:ascii="Times New Roman" w:hAnsi="宋体" w:eastAsia="宋体" w:cs="宋体"/>
          <w:color w:val="000000"/>
          <w:kern w:val="0"/>
          <w:sz w:val="24"/>
          <w:szCs w:val="24"/>
          <w:shd w:val="clear" w:fill="FFFFFF"/>
          <w:lang w:val="en-US" w:eastAsia="zh-CN" w:bidi="ar"/>
        </w:rPr>
        <w:t>号）、《国家发展和改革委员会国家能源局工业和信息化部住房和城乡建设部关于印发〈电动汽车充电基础设施发展指南（</w:t>
      </w:r>
      <w:r>
        <w:rPr>
          <w:rFonts w:hint="eastAsia" w:ascii="宋体" w:hAnsi="宋体" w:eastAsia="宋体" w:cs="宋体"/>
          <w:color w:val="000000"/>
          <w:kern w:val="0"/>
          <w:sz w:val="24"/>
          <w:szCs w:val="24"/>
          <w:shd w:val="clear" w:fill="FFFFFF"/>
          <w:lang w:val="en-US" w:eastAsia="zh-CN" w:bidi="ar"/>
        </w:rPr>
        <w:t>2015</w:t>
      </w:r>
      <w:r>
        <w:rPr>
          <w:rFonts w:hint="eastAsia" w:ascii="Times New Roman" w:hAnsi="宋体" w:eastAsia="宋体" w:cs="宋体"/>
          <w:color w:val="000000"/>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2020</w:t>
      </w:r>
      <w:r>
        <w:rPr>
          <w:rFonts w:hint="eastAsia" w:ascii="Times New Roman" w:hAnsi="宋体" w:eastAsia="宋体" w:cs="宋体"/>
          <w:color w:val="000000"/>
          <w:kern w:val="0"/>
          <w:sz w:val="24"/>
          <w:szCs w:val="24"/>
          <w:shd w:val="clear" w:fill="FFFFFF"/>
          <w:lang w:val="en-US" w:eastAsia="zh-CN" w:bidi="ar"/>
        </w:rPr>
        <w:t>年）〉的通知》（发改能源〔</w:t>
      </w:r>
      <w:r>
        <w:rPr>
          <w:rFonts w:hint="eastAsia" w:ascii="宋体" w:hAnsi="宋体" w:eastAsia="宋体" w:cs="宋体"/>
          <w:color w:val="000000"/>
          <w:kern w:val="0"/>
          <w:sz w:val="24"/>
          <w:szCs w:val="24"/>
          <w:shd w:val="clear" w:fill="FFFFFF"/>
          <w:lang w:val="en-US" w:eastAsia="zh-CN" w:bidi="ar"/>
        </w:rPr>
        <w:t>2015</w:t>
      </w:r>
      <w:r>
        <w:rPr>
          <w:rFonts w:hint="eastAsia" w:ascii="Times New Roman" w:hAnsi="宋体" w:eastAsia="宋体" w:cs="宋体"/>
          <w:color w:val="000000"/>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1454</w:t>
      </w:r>
      <w:r>
        <w:rPr>
          <w:rFonts w:hint="eastAsia" w:ascii="Times New Roman" w:hAnsi="宋体" w:eastAsia="宋体" w:cs="宋体"/>
          <w:color w:val="000000"/>
          <w:kern w:val="0"/>
          <w:sz w:val="24"/>
          <w:szCs w:val="24"/>
          <w:shd w:val="clear" w:fill="FFFFFF"/>
          <w:lang w:val="en-US" w:eastAsia="zh-CN" w:bidi="ar"/>
        </w:rPr>
        <w:t>号）精神，加快电动汽车充电基础设施建设，结合我市实际，制定本实施方案。</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黑体" w:cs="黑体"/>
          <w:color w:val="000000"/>
          <w:kern w:val="0"/>
          <w:sz w:val="24"/>
          <w:szCs w:val="24"/>
          <w:shd w:val="clear" w:fill="FFFFFF"/>
          <w:lang w:val="en-US" w:eastAsia="zh-CN" w:bidi="ar"/>
        </w:rPr>
        <w:t>一、总体要求</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（一）基本思路。</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充分发挥市场机制的主导作用，按照都市功能核心区与都市功能拓展区加快布局、其余区县（自治县）城区试点示范、高速公路沿线和重点旅游景区同步推进的原则，着力构建布局合理、运行规范、安全高效的电动汽车充电基础设施体系。按照国家标准统一构建全市电动汽车充换电标准体系，规范电动汽车充电基础设施建设、运营，实现不同充电服务平台之间的互联互通。</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（二）配置标准及建设目标。</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――凡新建住宅配建的停车库必须</w:t>
      </w:r>
      <w:r>
        <w:rPr>
          <w:rFonts w:hint="eastAsia" w:ascii="宋体" w:hAnsi="宋体" w:eastAsia="宋体" w:cs="宋体"/>
          <w:color w:val="000000"/>
          <w:kern w:val="0"/>
          <w:sz w:val="24"/>
          <w:szCs w:val="24"/>
          <w:shd w:val="clear" w:fill="FFFFFF"/>
          <w:lang w:val="en-US" w:eastAsia="zh-CN" w:bidi="ar"/>
        </w:rPr>
        <w:t>100%</w:t>
      </w:r>
      <w:r>
        <w:rPr>
          <w:rFonts w:hint="eastAsia" w:ascii="Times New Roman" w:hAnsi="宋体" w:eastAsia="宋体" w:cs="宋体"/>
          <w:color w:val="000000"/>
          <w:kern w:val="0"/>
          <w:sz w:val="24"/>
          <w:szCs w:val="24"/>
          <w:shd w:val="clear" w:fill="FFFFFF"/>
          <w:lang w:val="en-US" w:eastAsia="zh-CN" w:bidi="ar"/>
        </w:rPr>
        <w:t>建设电动汽车充电基础设施或预留建设安装条件（包括预埋电力管线和预留电力容量）。</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――凡新建的交通枢纽、超市卖场、商务楼宇，党政机关、企事业单位办公场所，学校、医院、文化体育场馆以及独立用地的公共停车场、停车换乘（</w:t>
      </w:r>
      <w:r>
        <w:rPr>
          <w:rFonts w:hint="eastAsia" w:ascii="宋体" w:hAnsi="宋体" w:eastAsia="宋体" w:cs="宋体"/>
          <w:color w:val="000000"/>
          <w:kern w:val="0"/>
          <w:sz w:val="24"/>
          <w:szCs w:val="24"/>
          <w:shd w:val="clear" w:fill="FFFFFF"/>
          <w:lang w:val="en-US" w:eastAsia="zh-CN" w:bidi="ar"/>
        </w:rPr>
        <w:t>P+R</w:t>
      </w:r>
      <w:r>
        <w:rPr>
          <w:rFonts w:hint="eastAsia" w:ascii="Times New Roman" w:hAnsi="宋体" w:eastAsia="宋体" w:cs="宋体"/>
          <w:color w:val="000000"/>
          <w:kern w:val="0"/>
          <w:sz w:val="24"/>
          <w:szCs w:val="24"/>
          <w:shd w:val="clear" w:fill="FFFFFF"/>
          <w:lang w:val="en-US" w:eastAsia="zh-CN" w:bidi="ar"/>
        </w:rPr>
        <w:t>）停车场等，在主城区按照不低于总停车位数量</w:t>
      </w:r>
      <w:r>
        <w:rPr>
          <w:rFonts w:hint="eastAsia" w:ascii="宋体" w:hAnsi="宋体" w:eastAsia="宋体" w:cs="宋体"/>
          <w:color w:val="000000"/>
          <w:kern w:val="0"/>
          <w:sz w:val="24"/>
          <w:szCs w:val="24"/>
          <w:shd w:val="clear" w:fill="FFFFFF"/>
          <w:lang w:val="en-US" w:eastAsia="zh-CN" w:bidi="ar"/>
        </w:rPr>
        <w:t>10%</w:t>
      </w:r>
      <w:r>
        <w:rPr>
          <w:rFonts w:hint="eastAsia" w:ascii="Times New Roman" w:hAnsi="宋体" w:eastAsia="宋体" w:cs="宋体"/>
          <w:color w:val="000000"/>
          <w:kern w:val="0"/>
          <w:sz w:val="24"/>
          <w:szCs w:val="24"/>
          <w:shd w:val="clear" w:fill="FFFFFF"/>
          <w:lang w:val="en-US" w:eastAsia="zh-CN" w:bidi="ar"/>
        </w:rPr>
        <w:t>的比例建设电动汽车充电基础设施；在其他区县（自治县）城区因地制宜，按照不低于总停车位数量</w:t>
      </w:r>
      <w:r>
        <w:rPr>
          <w:rFonts w:hint="eastAsia" w:ascii="宋体" w:hAnsi="宋体" w:eastAsia="宋体" w:cs="宋体"/>
          <w:color w:val="000000"/>
          <w:kern w:val="0"/>
          <w:sz w:val="24"/>
          <w:szCs w:val="24"/>
          <w:shd w:val="clear" w:fill="FFFFFF"/>
          <w:lang w:val="en-US" w:eastAsia="zh-CN" w:bidi="ar"/>
        </w:rPr>
        <w:t>10%</w:t>
      </w:r>
      <w:r>
        <w:rPr>
          <w:rFonts w:hint="eastAsia" w:ascii="Times New Roman" w:hAnsi="宋体" w:eastAsia="宋体" w:cs="宋体"/>
          <w:color w:val="000000"/>
          <w:kern w:val="0"/>
          <w:sz w:val="24"/>
          <w:szCs w:val="24"/>
          <w:shd w:val="clear" w:fill="FFFFFF"/>
          <w:lang w:val="en-US" w:eastAsia="zh-CN" w:bidi="ar"/>
        </w:rPr>
        <w:t>的比例建设电动汽车充电基础设施或预留建设安装条件（包括预埋电力管线和预留电力容量）；鼓励根据实际需求增建电动汽车充电基础设施。</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――对已建成的住宅小区、交通枢纽、超市卖场、商务楼宇，党政机关、企事业单位办公场所，学校、医院、文化体育场馆以及独立用地的公共停车场、道路停车位等，通过改造、加装等方式，到</w:t>
      </w:r>
      <w:r>
        <w:rPr>
          <w:rFonts w:hint="eastAsia" w:ascii="宋体" w:hAnsi="宋体" w:eastAsia="宋体" w:cs="宋体"/>
          <w:color w:val="000000"/>
          <w:kern w:val="0"/>
          <w:sz w:val="24"/>
          <w:szCs w:val="24"/>
          <w:shd w:val="clear" w:fill="FFFFFF"/>
          <w:lang w:val="en-US" w:eastAsia="zh-CN" w:bidi="ar"/>
        </w:rPr>
        <w:t>2020</w:t>
      </w:r>
      <w:r>
        <w:rPr>
          <w:rFonts w:hint="eastAsia" w:ascii="Times New Roman" w:hAnsi="宋体" w:eastAsia="宋体" w:cs="宋体"/>
          <w:color w:val="000000"/>
          <w:kern w:val="0"/>
          <w:sz w:val="24"/>
          <w:szCs w:val="24"/>
          <w:shd w:val="clear" w:fill="FFFFFF"/>
          <w:lang w:val="en-US" w:eastAsia="zh-CN" w:bidi="ar"/>
        </w:rPr>
        <w:t>年，在主城区按照不低于总停车位数量</w:t>
      </w:r>
      <w:r>
        <w:rPr>
          <w:rFonts w:hint="eastAsia" w:ascii="宋体" w:hAnsi="宋体" w:eastAsia="宋体" w:cs="宋体"/>
          <w:color w:val="000000"/>
          <w:kern w:val="0"/>
          <w:sz w:val="24"/>
          <w:szCs w:val="24"/>
          <w:shd w:val="clear" w:fill="FFFFFF"/>
          <w:lang w:val="en-US" w:eastAsia="zh-CN" w:bidi="ar"/>
        </w:rPr>
        <w:t>10%</w:t>
      </w:r>
      <w:r>
        <w:rPr>
          <w:rFonts w:hint="eastAsia" w:ascii="Times New Roman" w:hAnsi="宋体" w:eastAsia="宋体" w:cs="宋体"/>
          <w:color w:val="000000"/>
          <w:kern w:val="0"/>
          <w:sz w:val="24"/>
          <w:szCs w:val="24"/>
          <w:shd w:val="clear" w:fill="FFFFFF"/>
          <w:lang w:val="en-US" w:eastAsia="zh-CN" w:bidi="ar"/>
        </w:rPr>
        <w:t>的比例提供电动汽车充电基础设施，其他区县（自治县）城区可根据实际条件改造提供电动汽车充电基础设施。</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――除上述场所外，还应按照相关规划建设电动汽车公共充换电站。到</w:t>
      </w:r>
      <w:r>
        <w:rPr>
          <w:rFonts w:hint="eastAsia" w:ascii="宋体" w:hAnsi="宋体" w:eastAsia="宋体" w:cs="宋体"/>
          <w:color w:val="000000"/>
          <w:kern w:val="0"/>
          <w:sz w:val="24"/>
          <w:szCs w:val="24"/>
          <w:shd w:val="clear" w:fill="FFFFFF"/>
          <w:lang w:val="en-US" w:eastAsia="zh-CN" w:bidi="ar"/>
        </w:rPr>
        <w:t>2020</w:t>
      </w:r>
      <w:r>
        <w:rPr>
          <w:rFonts w:hint="eastAsia" w:ascii="Times New Roman" w:hAnsi="宋体" w:eastAsia="宋体" w:cs="宋体"/>
          <w:color w:val="000000"/>
          <w:kern w:val="0"/>
          <w:sz w:val="24"/>
          <w:szCs w:val="24"/>
          <w:shd w:val="clear" w:fill="FFFFFF"/>
          <w:lang w:val="en-US" w:eastAsia="zh-CN" w:bidi="ar"/>
        </w:rPr>
        <w:t>年，主城区原则上按服务半径每</w:t>
      </w:r>
      <w:r>
        <w:rPr>
          <w:rFonts w:hint="eastAsia" w:ascii="宋体" w:hAnsi="宋体" w:eastAsia="宋体" w:cs="宋体"/>
          <w:color w:val="000000"/>
          <w:kern w:val="0"/>
          <w:sz w:val="24"/>
          <w:szCs w:val="24"/>
          <w:shd w:val="clear" w:fill="FFFFFF"/>
          <w:lang w:val="en-US" w:eastAsia="zh-CN" w:bidi="ar"/>
        </w:rPr>
        <w:t>1</w:t>
      </w:r>
      <w:r>
        <w:rPr>
          <w:rFonts w:hint="eastAsia" w:ascii="Times New Roman" w:hAnsi="宋体" w:eastAsia="宋体" w:cs="宋体"/>
          <w:color w:val="000000"/>
          <w:kern w:val="0"/>
          <w:sz w:val="24"/>
          <w:szCs w:val="24"/>
          <w:shd w:val="clear" w:fill="FFFFFF"/>
          <w:lang w:val="en-US" w:eastAsia="zh-CN" w:bidi="ar"/>
        </w:rPr>
        <w:t>公里提供</w:t>
      </w:r>
      <w:r>
        <w:rPr>
          <w:rFonts w:hint="eastAsia" w:ascii="宋体" w:hAnsi="宋体" w:eastAsia="宋体" w:cs="宋体"/>
          <w:color w:val="000000"/>
          <w:kern w:val="0"/>
          <w:sz w:val="24"/>
          <w:szCs w:val="24"/>
          <w:shd w:val="clear" w:fill="FFFFFF"/>
          <w:lang w:val="en-US" w:eastAsia="zh-CN" w:bidi="ar"/>
        </w:rPr>
        <w:t>1</w:t>
      </w:r>
      <w:r>
        <w:rPr>
          <w:rFonts w:hint="eastAsia" w:ascii="Times New Roman" w:hAnsi="宋体" w:eastAsia="宋体" w:cs="宋体"/>
          <w:color w:val="000000"/>
          <w:kern w:val="0"/>
          <w:sz w:val="24"/>
          <w:szCs w:val="24"/>
          <w:shd w:val="clear" w:fill="FFFFFF"/>
          <w:lang w:val="en-US" w:eastAsia="zh-CN" w:bidi="ar"/>
        </w:rPr>
        <w:t>座公共充换电站，累计建成不少于</w:t>
      </w:r>
      <w:r>
        <w:rPr>
          <w:rFonts w:hint="eastAsia" w:ascii="宋体" w:hAnsi="宋体" w:eastAsia="宋体" w:cs="宋体"/>
          <w:color w:val="000000"/>
          <w:kern w:val="0"/>
          <w:sz w:val="24"/>
          <w:szCs w:val="24"/>
          <w:shd w:val="clear" w:fill="FFFFFF"/>
          <w:lang w:val="en-US" w:eastAsia="zh-CN" w:bidi="ar"/>
        </w:rPr>
        <w:t>30</w:t>
      </w:r>
      <w:r>
        <w:rPr>
          <w:rFonts w:hint="eastAsia" w:ascii="Times New Roman" w:hAnsi="宋体" w:eastAsia="宋体" w:cs="宋体"/>
          <w:color w:val="000000"/>
          <w:kern w:val="0"/>
          <w:sz w:val="24"/>
          <w:szCs w:val="24"/>
          <w:shd w:val="clear" w:fill="FFFFFF"/>
          <w:lang w:val="en-US" w:eastAsia="zh-CN" w:bidi="ar"/>
        </w:rPr>
        <w:t>座公共充换电站；其他每个区县（自治县）城区至少建成</w:t>
      </w:r>
      <w:r>
        <w:rPr>
          <w:rFonts w:hint="eastAsia" w:ascii="宋体" w:hAnsi="宋体" w:eastAsia="宋体" w:cs="宋体"/>
          <w:color w:val="000000"/>
          <w:kern w:val="0"/>
          <w:sz w:val="24"/>
          <w:szCs w:val="24"/>
          <w:shd w:val="clear" w:fill="FFFFFF"/>
          <w:lang w:val="en-US" w:eastAsia="zh-CN" w:bidi="ar"/>
        </w:rPr>
        <w:t>1</w:t>
      </w:r>
      <w:r>
        <w:rPr>
          <w:rFonts w:hint="eastAsia" w:ascii="Times New Roman" w:hAnsi="宋体" w:eastAsia="宋体" w:cs="宋体"/>
          <w:color w:val="000000"/>
          <w:kern w:val="0"/>
          <w:sz w:val="24"/>
          <w:szCs w:val="24"/>
          <w:shd w:val="clear" w:fill="FFFFFF"/>
          <w:lang w:val="en-US" w:eastAsia="zh-CN" w:bidi="ar"/>
        </w:rPr>
        <w:t>座公共充换电站；每个重点旅游景区至少建成</w:t>
      </w:r>
      <w:r>
        <w:rPr>
          <w:rFonts w:hint="eastAsia" w:ascii="宋体" w:hAnsi="宋体" w:eastAsia="宋体" w:cs="宋体"/>
          <w:color w:val="000000"/>
          <w:kern w:val="0"/>
          <w:sz w:val="24"/>
          <w:szCs w:val="24"/>
          <w:shd w:val="clear" w:fill="FFFFFF"/>
          <w:lang w:val="en-US" w:eastAsia="zh-CN" w:bidi="ar"/>
        </w:rPr>
        <w:t>1</w:t>
      </w:r>
      <w:r>
        <w:rPr>
          <w:rFonts w:hint="eastAsia" w:ascii="Times New Roman" w:hAnsi="宋体" w:eastAsia="宋体" w:cs="宋体"/>
          <w:color w:val="000000"/>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2</w:t>
      </w:r>
      <w:r>
        <w:rPr>
          <w:rFonts w:hint="eastAsia" w:ascii="Times New Roman" w:hAnsi="宋体" w:eastAsia="宋体" w:cs="宋体"/>
          <w:color w:val="000000"/>
          <w:kern w:val="0"/>
          <w:sz w:val="24"/>
          <w:szCs w:val="24"/>
          <w:shd w:val="clear" w:fill="FFFFFF"/>
          <w:lang w:val="en-US" w:eastAsia="zh-CN" w:bidi="ar"/>
        </w:rPr>
        <w:t>座公共充换电站；凡具备安全条件的加油站、加气站、高速公路服务区等实现充换电设施全覆盖。</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黑体" w:cs="黑体"/>
          <w:color w:val="000000"/>
          <w:kern w:val="0"/>
          <w:sz w:val="24"/>
          <w:szCs w:val="24"/>
          <w:shd w:val="clear" w:fill="FFFFFF"/>
          <w:lang w:val="en-US" w:eastAsia="zh-CN" w:bidi="ar"/>
        </w:rPr>
        <w:t>二、分类管理</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按照专用和公用两类电动汽车充电基础设施进行分类管理。专用充电基础设施包括：为私人住户提供服务（房主自有车库或车位内）的充电基础设施，为法人单位及其职工提供服务（不对外营业）的充电基础设施，以及在住宅小区内仅为业主提供服务的充电基础设施。公用充电基础设施包括：交通枢纽、超市卖场、商务楼宇、学校、医院、文化体育场馆、景区景点、加油加气站以及独立用地的公共停车场、停车换乘（</w:t>
      </w:r>
      <w:r>
        <w:rPr>
          <w:rFonts w:hint="eastAsia" w:ascii="宋体" w:hAnsi="宋体" w:eastAsia="宋体" w:cs="宋体"/>
          <w:color w:val="000000"/>
          <w:kern w:val="0"/>
          <w:sz w:val="24"/>
          <w:szCs w:val="24"/>
          <w:shd w:val="clear" w:fill="FFFFFF"/>
          <w:lang w:val="en-US" w:eastAsia="zh-CN" w:bidi="ar"/>
        </w:rPr>
        <w:t>P+R</w:t>
      </w:r>
      <w:r>
        <w:rPr>
          <w:rFonts w:hint="eastAsia" w:ascii="Times New Roman" w:hAnsi="宋体" w:eastAsia="宋体" w:cs="宋体"/>
          <w:color w:val="000000"/>
          <w:kern w:val="0"/>
          <w:sz w:val="24"/>
          <w:szCs w:val="24"/>
          <w:shd w:val="clear" w:fill="FFFFFF"/>
          <w:lang w:val="en-US" w:eastAsia="zh-CN" w:bidi="ar"/>
        </w:rPr>
        <w:t>）停车场等公共场所内，为公众提供服务的充电基础设施，包括独立占地的经营性集中式公共充换电站。</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（一）专用充电基础设施。</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私人住户可自行选择充电服务企业提供服务。法人单位或新建住宅小区开发商自行引入充电服务企业为其提供充电基础设施及相关服务，保证用户正常充电、安全充电。已建成住宅小区由业主委员会或产权所有人按照物业管理相关法律法规选择充电服务企业，为业主或车位承租人提供充电设施及相关服务。充电服务企业需要物业管理单位提供现场秩序维护、清洁卫生等服务的，可以与物业管理单位协商约定各自职责、服务内容等事项。</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（二）公用充电基础设施。</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有法人主体的公共设施，由法人单位自行引入充电服务企业为公众提供充电基础设施及相关服务。鼓励法人单位通过配建一定比例的公共充电车位，建立充电车位分时共享机制，为无固定停车位的用户充电创造条件。对新规划尚未明确建设主体的公共充换电站，由区县（自治县）政府通过招投标等方式选择建设运营主体，提供公共充换电服务。</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黑体" w:cs="黑体"/>
          <w:color w:val="000000"/>
          <w:kern w:val="0"/>
          <w:sz w:val="24"/>
          <w:szCs w:val="24"/>
          <w:shd w:val="clear" w:fill="FFFFFF"/>
          <w:lang w:val="en-US" w:eastAsia="zh-CN" w:bidi="ar"/>
        </w:rPr>
        <w:t>三、运营服务管理</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鼓励电力企业、成品油零售经营企业、电动汽车生产企业、电池制造商、第三方运营商等单位发挥技术、管理、资金、服务网络等方面的优势，组建专业的电动汽车充电服务企业。电动汽车充电基础设施的建设、运营应符合国家、行业及我市关于充电基础设施的建设、运营标准，并对外开放经营。</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电动汽车充电服务企业应向用户提供符合国家和我市统一标准规范的通用充电设备，并确保充电服务的安全性。充电设施应由具有相应机电安装资质的专业公司进行安装。充电服务企业可以向电动汽车用户收取电费及充电服务费作为收入主要来源，鼓励企业建立充电服务移动客户端公共服务平台，通过“互联网</w:t>
      </w:r>
      <w:r>
        <w:rPr>
          <w:rFonts w:hint="eastAsia" w:ascii="宋体" w:hAnsi="宋体" w:eastAsia="宋体" w:cs="宋体"/>
          <w:color w:val="000000"/>
          <w:kern w:val="0"/>
          <w:sz w:val="24"/>
          <w:szCs w:val="24"/>
          <w:shd w:val="clear" w:fill="FFFFFF"/>
          <w:lang w:val="en-US" w:eastAsia="zh-CN" w:bidi="ar"/>
        </w:rPr>
        <w:t>+</w:t>
      </w:r>
      <w:r>
        <w:rPr>
          <w:rFonts w:hint="eastAsia" w:ascii="Times New Roman" w:hAnsi="宋体" w:eastAsia="宋体" w:cs="宋体"/>
          <w:color w:val="000000"/>
          <w:kern w:val="0"/>
          <w:sz w:val="24"/>
          <w:szCs w:val="24"/>
          <w:shd w:val="clear" w:fill="FFFFFF"/>
          <w:lang w:val="en-US" w:eastAsia="zh-CN" w:bidi="ar"/>
        </w:rPr>
        <w:t>”拓展相关增值服务。</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黑体" w:cs="黑体"/>
          <w:color w:val="000000"/>
          <w:kern w:val="0"/>
          <w:sz w:val="24"/>
          <w:szCs w:val="24"/>
          <w:shd w:val="clear" w:fill="FFFFFF"/>
          <w:lang w:val="en-US" w:eastAsia="zh-CN" w:bidi="ar"/>
        </w:rPr>
        <w:t>四、完善服务体系</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（一）推进电动汽车充电标准体系建设。</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严格按照国家电动汽车充电接口及通信协议等标准，为电动汽车提供充电接口互操作性检测及服务平台间数据交换等技术支持。进一步完善电动汽车充电基础设施相关工程建设标准与管理规范，以及计量、计费、结算等运营标准与管理规范。加快制订电动汽车充电基础设施设置场所消防等安全技术标准，完善充换电设备、电动汽车电池等产品标准，明确防火安全要求。</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（二）构建电动汽车充电智能服务平台。</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鼓励电动汽车充电服务企业移动客户端公共服务平台的公共数据接入重庆市地理信息系统或其他第三方建设的公共信息平台，为市民提供充电导航、状态查询、充电预约等服务。</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（三）加强规划建设运营。</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加快编制全市电动汽车充电基础设施布局规划，将电动汽车充电基础设施配套电网建设与改造项目纳入配电网专项规划。统筹协调充电基础设施建设工作中出现的各种问题与矛盾。完善监管服务体系，严肃查处私拉电线、违规用电、建设施工不规范等行为，确保充电基础设施只能用于电动汽车供电，同时，将电动汽车充电基础设施建设情况纳入全市节能减排考核内容。</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黑体" w:cs="黑体"/>
          <w:color w:val="000000"/>
          <w:kern w:val="0"/>
          <w:sz w:val="24"/>
          <w:szCs w:val="24"/>
          <w:shd w:val="clear" w:fill="FFFFFF"/>
          <w:lang w:val="en-US" w:eastAsia="zh-CN" w:bidi="ar"/>
        </w:rPr>
        <w:t>五、保障措施</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（一）简化审批手续。</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个人在自有停车库、停车位，各居住区、单位在已有停车泊位安装电动汽车充电设施的，无需办理建设用地规划许可证、建设工程规划许可证和施工许可证。建设城市公共停车场（楼）时，无需为同步建设电动汽车充电桩群等充电基础设施单独办理建设工程规划许可证和施工许可证。新建单独占地的集中式充换电站应符合城市规划，并办理建设用地规划许可证、建设工程规划许可证和施工许可证。</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（二）落实国家财政扶持政策。</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符合条件的电动汽车充电基础设施建设项目优先纳入争取中央资金支持范围。鼓励通过政府与社会资本合作（</w:t>
      </w:r>
      <w:r>
        <w:rPr>
          <w:rFonts w:hint="eastAsia" w:ascii="宋体" w:hAnsi="宋体" w:eastAsia="宋体" w:cs="宋体"/>
          <w:color w:val="000000"/>
          <w:kern w:val="0"/>
          <w:sz w:val="24"/>
          <w:szCs w:val="24"/>
          <w:shd w:val="clear" w:fill="FFFFFF"/>
          <w:lang w:val="en-US" w:eastAsia="zh-CN" w:bidi="ar"/>
        </w:rPr>
        <w:t>PPP</w:t>
      </w:r>
      <w:r>
        <w:rPr>
          <w:rFonts w:hint="eastAsia" w:ascii="Times New Roman" w:hAnsi="宋体" w:eastAsia="宋体" w:cs="宋体"/>
          <w:color w:val="000000"/>
          <w:kern w:val="0"/>
          <w:sz w:val="24"/>
          <w:szCs w:val="24"/>
          <w:shd w:val="clear" w:fill="FFFFFF"/>
          <w:lang w:val="en-US" w:eastAsia="zh-CN" w:bidi="ar"/>
        </w:rPr>
        <w:t>）等方式培育市场主体，引入社会资本建设运营公共服务领域充电基础设施、城市公共充电网络及智能服务平台。</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（三）完善充电服务价格机制。</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对向电力企业直接报装接电的经营性集中式电动汽车充换电设施用电，执行大工业用电价格，</w:t>
      </w:r>
      <w:r>
        <w:rPr>
          <w:rFonts w:hint="eastAsia" w:ascii="宋体" w:hAnsi="宋体" w:eastAsia="宋体" w:cs="宋体"/>
          <w:color w:val="000000"/>
          <w:kern w:val="0"/>
          <w:sz w:val="24"/>
          <w:szCs w:val="24"/>
          <w:shd w:val="clear" w:fill="FFFFFF"/>
          <w:lang w:val="en-US" w:eastAsia="zh-CN" w:bidi="ar"/>
        </w:rPr>
        <w:t>2020</w:t>
      </w:r>
      <w:r>
        <w:rPr>
          <w:rFonts w:hint="eastAsia" w:ascii="Times New Roman" w:hAnsi="宋体" w:eastAsia="宋体" w:cs="宋体"/>
          <w:color w:val="000000"/>
          <w:kern w:val="0"/>
          <w:sz w:val="24"/>
          <w:szCs w:val="24"/>
          <w:shd w:val="clear" w:fill="FFFFFF"/>
          <w:lang w:val="en-US" w:eastAsia="zh-CN" w:bidi="ar"/>
        </w:rPr>
        <w:t>年前暂免收取基本电费；其他充电基础设施用电按其所在场所执行分类目录电价。其中，向电力企业报装的居民住宅区充电基础设施用电，执行居民用电价格中的合表用户电价；对居民自用充电基础设施的用电与家庭用电分表计量，执行居民生活用电价格，且不纳入居民生活用电阶梯电价计算范围；党政机关、企事业单位和社会公共停车场等场所的充电基础设施用电，执行一般工商业及其他类用电价格。电动汽车充电基础设施用电按重庆市峰谷分时电价相关政策执行。电动汽车充电服务企业向用户收取的充电服务费执行政府指导价，针对不同类别充电基础设施，以电价为计费依据，服务费暂按每千瓦时不超过执行电价的</w:t>
      </w:r>
      <w:r>
        <w:rPr>
          <w:rFonts w:hint="eastAsia" w:ascii="宋体" w:hAnsi="宋体" w:eastAsia="宋体" w:cs="宋体"/>
          <w:color w:val="000000"/>
          <w:kern w:val="0"/>
          <w:sz w:val="24"/>
          <w:szCs w:val="24"/>
          <w:shd w:val="clear" w:fill="FFFFFF"/>
          <w:lang w:val="en-US" w:eastAsia="zh-CN" w:bidi="ar"/>
        </w:rPr>
        <w:t>50%</w:t>
      </w:r>
      <w:r>
        <w:rPr>
          <w:rFonts w:hint="eastAsia" w:ascii="Times New Roman" w:hAnsi="宋体" w:eastAsia="宋体" w:cs="宋体"/>
          <w:color w:val="000000"/>
          <w:kern w:val="0"/>
          <w:sz w:val="24"/>
          <w:szCs w:val="24"/>
          <w:shd w:val="clear" w:fill="FFFFFF"/>
          <w:lang w:val="en-US" w:eastAsia="zh-CN" w:bidi="ar"/>
        </w:rPr>
        <w:t>收取，试行一年；试行期满后，结合市场发展情况，逐步放开充电服务费，由市场竞争形成价格。</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（四）做好配套电网接入服务。</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电网企业要按照“就近用电接入”原则，为电动汽车充电基础设施接入电网提供便利条件，开辟绿色通道、优化流程、简化手续、提高效率、限时办结。由电力企业负责充电基础设施从产权分界点至公共电网配套接网工程的建设和运行维护，不得收取接网费用。</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（五）加大用地支持力度。</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电动汽车充电桩原则上不征用土地，需要利用市政道路建设充电桩的，可按照市政公用设施建设管理要求使用土地，并向市政主管部门办理相关手续。鼓励采用合建方式建设电动汽车充电基础设施，可结合原规划的加油站、加气站进行选址安排。对确需单独建设的集中式公共充换电站项目，土地用途确定为公共设施用地，国土部门结合项目性质、建设运营成本等采取划拨、出让或租赁方式供应土地，并根据建设需要优先纳入国有土地建设用地供应计划。</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spacing w:before="0" w:beforeAutospacing="0" w:after="0" w:afterAutospacing="0" w:line="540" w:lineRule="atLeast"/>
        <w:ind w:left="300" w:right="300" w:firstLine="632" w:firstLineChars="200"/>
        <w:jc w:val="left"/>
      </w:pPr>
      <w:r>
        <w:rPr>
          <w:rFonts w:hint="eastAsia" w:ascii="Times New Roman" w:hAnsi="宋体" w:eastAsia="宋体" w:cs="宋体"/>
          <w:color w:val="000000"/>
          <w:kern w:val="0"/>
          <w:sz w:val="24"/>
          <w:szCs w:val="24"/>
          <w:shd w:val="clear" w:fill="FFFFFF"/>
          <w:lang w:val="en-US" w:eastAsia="zh-CN" w:bidi="ar"/>
        </w:rPr>
        <w:t>附件：重庆市加快电动汽车充电基础设施建设任务分解表</w:t>
      </w:r>
    </w:p>
    <w:tbl>
      <w:tblPr>
        <w:tblStyle w:val="3"/>
        <w:tblW w:w="8822" w:type="dxa"/>
        <w:jc w:val="center"/>
        <w:tblInd w:w="-23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607"/>
        <w:gridCol w:w="5011"/>
        <w:gridCol w:w="1525"/>
        <w:gridCol w:w="1679"/>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tblHeader/>
          <w:jc w:val="center"/>
        </w:trPr>
        <w:tc>
          <w:tcPr>
            <w:tcW w:w="607" w:type="dxa"/>
            <w:tcBorders>
              <w:top w:val="single" w:color="auto" w:sz="6"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宋体" w:eastAsia="黑体" w:cs="黑体"/>
                <w:kern w:val="0"/>
                <w:sz w:val="24"/>
                <w:szCs w:val="24"/>
                <w:lang w:val="en-US" w:eastAsia="zh-CN" w:bidi="ar"/>
              </w:rPr>
              <w:t>序号</w:t>
            </w:r>
          </w:p>
        </w:tc>
        <w:tc>
          <w:tcPr>
            <w:tcW w:w="5011" w:type="dxa"/>
            <w:tcBorders>
              <w:top w:val="single" w:color="auto" w:sz="6"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宋体" w:eastAsia="黑体" w:cs="黑体"/>
                <w:kern w:val="0"/>
                <w:sz w:val="24"/>
                <w:szCs w:val="24"/>
                <w:lang w:val="en-US" w:eastAsia="zh-CN" w:bidi="ar"/>
              </w:rPr>
              <w:t>工</w:t>
            </w:r>
            <w:r>
              <w:rPr>
                <w:rFonts w:eastAsia="黑体" w:asciiTheme="minorHAnsi" w:hAnsiTheme="minorHAnsi" w:cstheme="minorBidi"/>
                <w:kern w:val="0"/>
                <w:sz w:val="24"/>
                <w:szCs w:val="24"/>
                <w:lang w:val="en-US" w:eastAsia="zh-CN" w:bidi="ar"/>
              </w:rPr>
              <w:t xml:space="preserve">    </w:t>
            </w:r>
            <w:r>
              <w:rPr>
                <w:rFonts w:hint="eastAsia" w:ascii="Times New Roman" w:hAnsi="宋体" w:eastAsia="黑体" w:cs="黑体"/>
                <w:kern w:val="0"/>
                <w:sz w:val="24"/>
                <w:szCs w:val="24"/>
                <w:lang w:val="en-US" w:eastAsia="zh-CN" w:bidi="ar"/>
              </w:rPr>
              <w:t>作</w:t>
            </w:r>
            <w:r>
              <w:rPr>
                <w:rFonts w:eastAsia="黑体" w:asciiTheme="minorHAnsi" w:hAnsiTheme="minorHAnsi" w:cstheme="minorBidi"/>
                <w:kern w:val="0"/>
                <w:sz w:val="24"/>
                <w:szCs w:val="24"/>
                <w:lang w:val="en-US" w:eastAsia="zh-CN" w:bidi="ar"/>
              </w:rPr>
              <w:t xml:space="preserve">    </w:t>
            </w:r>
            <w:r>
              <w:rPr>
                <w:rFonts w:hint="eastAsia" w:ascii="Times New Roman" w:hAnsi="宋体" w:eastAsia="黑体" w:cs="黑体"/>
                <w:kern w:val="0"/>
                <w:sz w:val="24"/>
                <w:szCs w:val="24"/>
                <w:lang w:val="en-US" w:eastAsia="zh-CN" w:bidi="ar"/>
              </w:rPr>
              <w:t>内</w:t>
            </w:r>
            <w:r>
              <w:rPr>
                <w:rFonts w:eastAsia="黑体" w:asciiTheme="minorHAnsi" w:hAnsiTheme="minorHAnsi" w:cstheme="minorBidi"/>
                <w:kern w:val="0"/>
                <w:sz w:val="24"/>
                <w:szCs w:val="24"/>
                <w:lang w:val="en-US" w:eastAsia="zh-CN" w:bidi="ar"/>
              </w:rPr>
              <w:t xml:space="preserve">    </w:t>
            </w:r>
            <w:r>
              <w:rPr>
                <w:rFonts w:hint="eastAsia" w:ascii="Times New Roman" w:hAnsi="宋体" w:eastAsia="黑体" w:cs="黑体"/>
                <w:kern w:val="0"/>
                <w:sz w:val="24"/>
                <w:szCs w:val="24"/>
                <w:lang w:val="en-US" w:eastAsia="zh-CN" w:bidi="ar"/>
              </w:rPr>
              <w:t>容</w:t>
            </w:r>
          </w:p>
        </w:tc>
        <w:tc>
          <w:tcPr>
            <w:tcW w:w="1525" w:type="dxa"/>
            <w:tcBorders>
              <w:top w:val="single" w:color="auto" w:sz="6"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宋体" w:eastAsia="黑体" w:cs="黑体"/>
                <w:kern w:val="0"/>
                <w:sz w:val="24"/>
                <w:szCs w:val="24"/>
                <w:lang w:val="en-US" w:eastAsia="zh-CN" w:bidi="ar"/>
              </w:rPr>
              <w:t>责任部门</w:t>
            </w:r>
          </w:p>
        </w:tc>
        <w:tc>
          <w:tcPr>
            <w:tcW w:w="1679" w:type="dxa"/>
            <w:tcBorders>
              <w:top w:val="single" w:color="auto" w:sz="6"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宋体" w:eastAsia="黑体" w:cs="黑体"/>
                <w:kern w:val="0"/>
                <w:sz w:val="24"/>
                <w:szCs w:val="24"/>
                <w:lang w:val="en-US" w:eastAsia="zh-CN" w:bidi="ar"/>
              </w:rPr>
              <w:t>完成时限</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1</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统筹协调推进电动汽车充电基础设施建设。</w:t>
            </w:r>
          </w:p>
        </w:tc>
        <w:tc>
          <w:tcPr>
            <w:tcW w:w="1525" w:type="dxa"/>
            <w:vMerge w:val="restart"/>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市发展改革委</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spacing w:val="-6"/>
                <w:kern w:val="0"/>
                <w:sz w:val="24"/>
                <w:szCs w:val="24"/>
                <w:lang w:val="en-US" w:eastAsia="zh-CN" w:bidi="ar"/>
              </w:rPr>
              <w:t>规范电动汽车充电服务企业准入、运营和退出行为。</w:t>
            </w:r>
          </w:p>
        </w:tc>
        <w:tc>
          <w:tcPr>
            <w:tcW w:w="1525" w:type="dxa"/>
            <w:vMerge w:val="continue"/>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3</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争取中央资金支持符合条件的电动汽车充电基础设施建设项目。</w:t>
            </w:r>
          </w:p>
        </w:tc>
        <w:tc>
          <w:tcPr>
            <w:tcW w:w="1525" w:type="dxa"/>
            <w:vMerge w:val="continue"/>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4</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将电动汽车充电基础设施建设情况纳入全市节能减排考核内容。</w:t>
            </w:r>
          </w:p>
        </w:tc>
        <w:tc>
          <w:tcPr>
            <w:tcW w:w="152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eastAsia="方正书宋_GBK" w:asciiTheme="minorHAnsi" w:hAnsiTheme="minorHAnsi" w:cstheme="minorBidi"/>
                <w:kern w:val="0"/>
                <w:sz w:val="24"/>
                <w:szCs w:val="24"/>
                <w:lang w:val="en-US" w:eastAsia="zh-CN" w:bidi="ar"/>
              </w:rPr>
              <w:t> </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5</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贯彻落实中央财政支持政策和地方配套政策。</w:t>
            </w:r>
          </w:p>
        </w:tc>
        <w:tc>
          <w:tcPr>
            <w:tcW w:w="152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市财政局</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6</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贯彻落实国家相关规范标准，制订我市电动汽车充电基础设施产品技术标准。</w:t>
            </w:r>
          </w:p>
        </w:tc>
        <w:tc>
          <w:tcPr>
            <w:tcW w:w="1525" w:type="dxa"/>
            <w:vMerge w:val="restart"/>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市经济信息委</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2016</w:t>
            </w:r>
            <w:r>
              <w:rPr>
                <w:rFonts w:hint="default" w:ascii="Times New Roman" w:hAnsi="方正书宋_GBK" w:eastAsia="方正书宋_GBK" w:cs="方正书宋_GBK"/>
                <w:kern w:val="0"/>
                <w:sz w:val="24"/>
                <w:szCs w:val="24"/>
                <w:lang w:val="en-US" w:eastAsia="zh-CN" w:bidi="ar"/>
              </w:rPr>
              <w:t>年</w:t>
            </w:r>
            <w:r>
              <w:rPr>
                <w:rFonts w:eastAsia="方正书宋_GBK" w:asciiTheme="minorHAnsi" w:hAnsiTheme="minorHAnsi" w:cstheme="minorBidi"/>
                <w:kern w:val="0"/>
                <w:sz w:val="24"/>
                <w:szCs w:val="24"/>
                <w:lang w:val="en-US" w:eastAsia="zh-CN" w:bidi="ar"/>
              </w:rPr>
              <w:t>2</w:t>
            </w:r>
            <w:r>
              <w:rPr>
                <w:rFonts w:hint="default" w:ascii="Times New Roman" w:hAnsi="方正书宋_GBK" w:eastAsia="方正书宋_GBK" w:cs="方正书宋_GBK"/>
                <w:kern w:val="0"/>
                <w:sz w:val="24"/>
                <w:szCs w:val="24"/>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804"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7</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制订重庆市电动汽车充电基础设施运营安全管理规范。</w:t>
            </w:r>
          </w:p>
        </w:tc>
        <w:tc>
          <w:tcPr>
            <w:tcW w:w="1525" w:type="dxa"/>
            <w:vMerge w:val="continue"/>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2016</w:t>
            </w:r>
            <w:r>
              <w:rPr>
                <w:rFonts w:hint="default" w:ascii="Times New Roman" w:hAnsi="方正书宋_GBK" w:eastAsia="方正书宋_GBK" w:cs="方正书宋_GBK"/>
                <w:kern w:val="0"/>
                <w:sz w:val="24"/>
                <w:szCs w:val="24"/>
                <w:lang w:val="en-US" w:eastAsia="zh-CN" w:bidi="ar"/>
              </w:rPr>
              <w:t>年</w:t>
            </w:r>
            <w:r>
              <w:rPr>
                <w:rFonts w:eastAsia="方正书宋_GBK" w:asciiTheme="minorHAnsi" w:hAnsiTheme="minorHAnsi" w:cstheme="minorBidi"/>
                <w:kern w:val="0"/>
                <w:sz w:val="24"/>
                <w:szCs w:val="24"/>
                <w:lang w:val="en-US" w:eastAsia="zh-CN" w:bidi="ar"/>
              </w:rPr>
              <w:t>2</w:t>
            </w:r>
            <w:r>
              <w:rPr>
                <w:rFonts w:hint="default" w:ascii="Times New Roman" w:hAnsi="方正书宋_GBK" w:eastAsia="方正书宋_GBK" w:cs="方正书宋_GBK"/>
                <w:kern w:val="0"/>
                <w:sz w:val="24"/>
                <w:szCs w:val="24"/>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8</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spacing w:val="-8"/>
                <w:kern w:val="0"/>
                <w:sz w:val="24"/>
                <w:szCs w:val="24"/>
                <w:lang w:val="en-US" w:eastAsia="zh-CN" w:bidi="ar"/>
              </w:rPr>
              <w:t>编制重庆市电动汽车</w:t>
            </w:r>
            <w:r>
              <w:rPr>
                <w:rFonts w:eastAsia="方正书宋_GBK" w:asciiTheme="minorHAnsi" w:hAnsiTheme="minorHAnsi" w:cstheme="minorBidi"/>
                <w:spacing w:val="-8"/>
                <w:kern w:val="0"/>
                <w:sz w:val="24"/>
                <w:szCs w:val="24"/>
                <w:lang w:val="en-US" w:eastAsia="zh-CN" w:bidi="ar"/>
              </w:rPr>
              <w:t>2015</w:t>
            </w:r>
            <w:r>
              <w:rPr>
                <w:rFonts w:hint="default" w:ascii="Times New Roman" w:hAnsi="方正书宋_GBK" w:eastAsia="方正书宋_GBK" w:cs="方正书宋_GBK"/>
                <w:spacing w:val="-8"/>
                <w:kern w:val="0"/>
                <w:sz w:val="24"/>
                <w:szCs w:val="24"/>
                <w:lang w:val="en-US" w:eastAsia="zh-CN" w:bidi="ar"/>
              </w:rPr>
              <w:t>―</w:t>
            </w:r>
            <w:r>
              <w:rPr>
                <w:rFonts w:eastAsia="方正书宋_GBK" w:asciiTheme="minorHAnsi" w:hAnsiTheme="minorHAnsi" w:cstheme="minorBidi"/>
                <w:spacing w:val="-8"/>
                <w:kern w:val="0"/>
                <w:sz w:val="24"/>
                <w:szCs w:val="24"/>
                <w:lang w:val="en-US" w:eastAsia="zh-CN" w:bidi="ar"/>
              </w:rPr>
              <w:t>2020</w:t>
            </w:r>
            <w:r>
              <w:rPr>
                <w:rFonts w:hint="default" w:ascii="Times New Roman" w:hAnsi="方正书宋_GBK" w:eastAsia="方正书宋_GBK" w:cs="方正书宋_GBK"/>
                <w:spacing w:val="-8"/>
                <w:kern w:val="0"/>
                <w:sz w:val="24"/>
                <w:szCs w:val="24"/>
                <w:lang w:val="en-US" w:eastAsia="zh-CN" w:bidi="ar"/>
              </w:rPr>
              <w:t>年推广应用规划。</w:t>
            </w:r>
          </w:p>
        </w:tc>
        <w:tc>
          <w:tcPr>
            <w:tcW w:w="1525" w:type="dxa"/>
            <w:vMerge w:val="continue"/>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2016</w:t>
            </w:r>
            <w:r>
              <w:rPr>
                <w:rFonts w:hint="default" w:ascii="Times New Roman" w:hAnsi="方正书宋_GBK" w:eastAsia="方正书宋_GBK" w:cs="方正书宋_GBK"/>
                <w:kern w:val="0"/>
                <w:sz w:val="24"/>
                <w:szCs w:val="24"/>
                <w:lang w:val="en-US" w:eastAsia="zh-CN" w:bidi="ar"/>
              </w:rPr>
              <w:t>年</w:t>
            </w:r>
            <w:r>
              <w:rPr>
                <w:rFonts w:eastAsia="方正书宋_GBK" w:asciiTheme="minorHAnsi" w:hAnsiTheme="minorHAnsi" w:cstheme="minorBidi"/>
                <w:kern w:val="0"/>
                <w:sz w:val="24"/>
                <w:szCs w:val="24"/>
                <w:lang w:val="en-US" w:eastAsia="zh-CN" w:bidi="ar"/>
              </w:rPr>
              <w:t>3</w:t>
            </w:r>
            <w:r>
              <w:rPr>
                <w:rFonts w:hint="default" w:ascii="Times New Roman" w:hAnsi="方正书宋_GBK" w:eastAsia="方正书宋_GBK" w:cs="方正书宋_GBK"/>
                <w:kern w:val="0"/>
                <w:sz w:val="24"/>
                <w:szCs w:val="24"/>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9</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依法依规查处电网企业服务不合规等情况。</w:t>
            </w:r>
          </w:p>
        </w:tc>
        <w:tc>
          <w:tcPr>
            <w:tcW w:w="1525" w:type="dxa"/>
            <w:vMerge w:val="continue"/>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10</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制订电动汽车充电设施建设规范。</w:t>
            </w:r>
          </w:p>
        </w:tc>
        <w:tc>
          <w:tcPr>
            <w:tcW w:w="152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市城乡建委</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2016</w:t>
            </w:r>
            <w:r>
              <w:rPr>
                <w:rFonts w:hint="default" w:ascii="Times New Roman" w:hAnsi="方正书宋_GBK" w:eastAsia="方正书宋_GBK" w:cs="方正书宋_GBK"/>
                <w:kern w:val="0"/>
                <w:sz w:val="24"/>
                <w:szCs w:val="24"/>
                <w:lang w:val="en-US" w:eastAsia="zh-CN" w:bidi="ar"/>
              </w:rPr>
              <w:t>年</w:t>
            </w:r>
            <w:r>
              <w:rPr>
                <w:rFonts w:eastAsia="方正书宋_GBK" w:asciiTheme="minorHAnsi" w:hAnsiTheme="minorHAnsi" w:cstheme="minorBidi"/>
                <w:kern w:val="0"/>
                <w:sz w:val="24"/>
                <w:szCs w:val="24"/>
                <w:lang w:val="en-US" w:eastAsia="zh-CN" w:bidi="ar"/>
              </w:rPr>
              <w:t>6</w:t>
            </w:r>
            <w:r>
              <w:rPr>
                <w:rFonts w:hint="default" w:ascii="Times New Roman" w:hAnsi="方正书宋_GBK" w:eastAsia="方正书宋_GBK" w:cs="方正书宋_GBK"/>
                <w:kern w:val="0"/>
                <w:sz w:val="24"/>
                <w:szCs w:val="24"/>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11</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制订高速公路电动汽车充电基础设施建设方案。</w:t>
            </w:r>
          </w:p>
        </w:tc>
        <w:tc>
          <w:tcPr>
            <w:tcW w:w="1525" w:type="dxa"/>
            <w:vMerge w:val="restart"/>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市交委</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2016</w:t>
            </w:r>
            <w:r>
              <w:rPr>
                <w:rFonts w:hint="default" w:ascii="Times New Roman" w:hAnsi="方正书宋_GBK" w:eastAsia="方正书宋_GBK" w:cs="方正书宋_GBK"/>
                <w:kern w:val="0"/>
                <w:sz w:val="24"/>
                <w:szCs w:val="24"/>
                <w:lang w:val="en-US" w:eastAsia="zh-CN" w:bidi="ar"/>
              </w:rPr>
              <w:t>年</w:t>
            </w:r>
            <w:r>
              <w:rPr>
                <w:rFonts w:eastAsia="方正书宋_GBK" w:asciiTheme="minorHAnsi" w:hAnsiTheme="minorHAnsi" w:cstheme="minorBidi"/>
                <w:kern w:val="0"/>
                <w:sz w:val="24"/>
                <w:szCs w:val="24"/>
                <w:lang w:val="en-US" w:eastAsia="zh-CN" w:bidi="ar"/>
              </w:rPr>
              <w:t>2</w:t>
            </w:r>
            <w:r>
              <w:rPr>
                <w:rFonts w:hint="default" w:ascii="Times New Roman" w:hAnsi="方正书宋_GBK" w:eastAsia="方正书宋_GBK" w:cs="方正书宋_GBK"/>
                <w:kern w:val="0"/>
                <w:sz w:val="24"/>
                <w:szCs w:val="24"/>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12</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制订公共交通领域电动汽车应用规划。</w:t>
            </w:r>
          </w:p>
        </w:tc>
        <w:tc>
          <w:tcPr>
            <w:tcW w:w="1525" w:type="dxa"/>
            <w:vMerge w:val="continue"/>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2016</w:t>
            </w:r>
            <w:r>
              <w:rPr>
                <w:rFonts w:hint="default" w:ascii="Times New Roman" w:hAnsi="方正书宋_GBK" w:eastAsia="方正书宋_GBK" w:cs="方正书宋_GBK"/>
                <w:kern w:val="0"/>
                <w:sz w:val="24"/>
                <w:szCs w:val="24"/>
                <w:lang w:val="en-US" w:eastAsia="zh-CN" w:bidi="ar"/>
              </w:rPr>
              <w:t>年</w:t>
            </w:r>
            <w:r>
              <w:rPr>
                <w:rFonts w:eastAsia="方正书宋_GBK" w:asciiTheme="minorHAnsi" w:hAnsiTheme="minorHAnsi" w:cstheme="minorBidi"/>
                <w:kern w:val="0"/>
                <w:sz w:val="24"/>
                <w:szCs w:val="24"/>
                <w:lang w:val="en-US" w:eastAsia="zh-CN" w:bidi="ar"/>
              </w:rPr>
              <w:t>3</w:t>
            </w:r>
            <w:r>
              <w:rPr>
                <w:rFonts w:hint="default" w:ascii="Times New Roman" w:hAnsi="方正书宋_GBK" w:eastAsia="方正书宋_GBK" w:cs="方正书宋_GBK"/>
                <w:kern w:val="0"/>
                <w:sz w:val="24"/>
                <w:szCs w:val="24"/>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13</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督促高速公路电动汽车充电基础设施建设。</w:t>
            </w:r>
          </w:p>
        </w:tc>
        <w:tc>
          <w:tcPr>
            <w:tcW w:w="1525" w:type="dxa"/>
            <w:vMerge w:val="continue"/>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14</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制订户外公共停车场电动汽车充电基础设施建设方案。</w:t>
            </w:r>
          </w:p>
        </w:tc>
        <w:tc>
          <w:tcPr>
            <w:tcW w:w="1525" w:type="dxa"/>
            <w:vMerge w:val="restart"/>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市市政委</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2016</w:t>
            </w:r>
            <w:r>
              <w:rPr>
                <w:rFonts w:hint="default" w:ascii="Times New Roman" w:hAnsi="方正书宋_GBK" w:eastAsia="方正书宋_GBK" w:cs="方正书宋_GBK"/>
                <w:kern w:val="0"/>
                <w:sz w:val="24"/>
                <w:szCs w:val="24"/>
                <w:lang w:val="en-US" w:eastAsia="zh-CN" w:bidi="ar"/>
              </w:rPr>
              <w:t>年</w:t>
            </w:r>
            <w:r>
              <w:rPr>
                <w:rFonts w:eastAsia="方正书宋_GBK" w:asciiTheme="minorHAnsi" w:hAnsiTheme="minorHAnsi" w:cstheme="minorBidi"/>
                <w:kern w:val="0"/>
                <w:sz w:val="24"/>
                <w:szCs w:val="24"/>
                <w:lang w:val="en-US" w:eastAsia="zh-CN" w:bidi="ar"/>
              </w:rPr>
              <w:t>2</w:t>
            </w:r>
            <w:r>
              <w:rPr>
                <w:rFonts w:hint="default" w:ascii="Times New Roman" w:hAnsi="方正书宋_GBK" w:eastAsia="方正书宋_GBK" w:cs="方正书宋_GBK"/>
                <w:kern w:val="0"/>
                <w:sz w:val="24"/>
                <w:szCs w:val="24"/>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15</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协调办理电动汽车充电设施建设中涉及占用、挖掘城市道路等市政设施手续。</w:t>
            </w:r>
          </w:p>
        </w:tc>
        <w:tc>
          <w:tcPr>
            <w:tcW w:w="1525" w:type="dxa"/>
            <w:vMerge w:val="continue"/>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16</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制订物业服务企业不配合或阻扰电动汽车充电基础设施建设的处罚措施。</w:t>
            </w:r>
          </w:p>
        </w:tc>
        <w:tc>
          <w:tcPr>
            <w:tcW w:w="1525" w:type="dxa"/>
            <w:vMerge w:val="restart"/>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市国土房管局</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2016</w:t>
            </w:r>
            <w:r>
              <w:rPr>
                <w:rFonts w:hint="default" w:ascii="Times New Roman" w:hAnsi="方正书宋_GBK" w:eastAsia="方正书宋_GBK" w:cs="方正书宋_GBK"/>
                <w:kern w:val="0"/>
                <w:sz w:val="24"/>
                <w:szCs w:val="24"/>
                <w:lang w:val="en-US" w:eastAsia="zh-CN" w:bidi="ar"/>
              </w:rPr>
              <w:t>年</w:t>
            </w:r>
            <w:r>
              <w:rPr>
                <w:rFonts w:eastAsia="方正书宋_GBK" w:asciiTheme="minorHAnsi" w:hAnsiTheme="minorHAnsi" w:cstheme="minorBidi"/>
                <w:kern w:val="0"/>
                <w:sz w:val="24"/>
                <w:szCs w:val="24"/>
                <w:lang w:val="en-US" w:eastAsia="zh-CN" w:bidi="ar"/>
              </w:rPr>
              <w:t>2</w:t>
            </w:r>
            <w:r>
              <w:rPr>
                <w:rFonts w:hint="default" w:ascii="Times New Roman" w:hAnsi="方正书宋_GBK" w:eastAsia="方正书宋_GBK" w:cs="方正书宋_GBK"/>
                <w:kern w:val="0"/>
                <w:sz w:val="24"/>
                <w:szCs w:val="24"/>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804"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17</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协调物业服务企业配合业主或充电服务企业加装电动汽车充电基础设施。</w:t>
            </w:r>
          </w:p>
        </w:tc>
        <w:tc>
          <w:tcPr>
            <w:tcW w:w="1525" w:type="dxa"/>
            <w:vMerge w:val="continue"/>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18</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对独立公共充换电站用地、配建充电基础设施用地予以支持。</w:t>
            </w:r>
          </w:p>
        </w:tc>
        <w:tc>
          <w:tcPr>
            <w:tcW w:w="152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市国土房管局</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19</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依托重庆市地理信息系统建设电动汽车充电基础设施公共数据服务平台。</w:t>
            </w:r>
          </w:p>
        </w:tc>
        <w:tc>
          <w:tcPr>
            <w:tcW w:w="1525" w:type="dxa"/>
            <w:vMerge w:val="restart"/>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市规划局</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2016</w:t>
            </w:r>
            <w:r>
              <w:rPr>
                <w:rFonts w:hint="default" w:ascii="Times New Roman" w:hAnsi="方正书宋_GBK" w:eastAsia="方正书宋_GBK" w:cs="方正书宋_GBK"/>
                <w:kern w:val="0"/>
                <w:sz w:val="24"/>
                <w:szCs w:val="24"/>
                <w:lang w:val="en-US" w:eastAsia="zh-CN" w:bidi="ar"/>
              </w:rPr>
              <w:t>年</w:t>
            </w:r>
            <w:r>
              <w:rPr>
                <w:rFonts w:eastAsia="方正书宋_GBK" w:asciiTheme="minorHAnsi" w:hAnsiTheme="minorHAnsi" w:cstheme="minorBidi"/>
                <w:kern w:val="0"/>
                <w:sz w:val="24"/>
                <w:szCs w:val="24"/>
                <w:lang w:val="en-US" w:eastAsia="zh-CN" w:bidi="ar"/>
              </w:rPr>
              <w:t>1</w:t>
            </w:r>
            <w:r>
              <w:rPr>
                <w:rFonts w:hint="default" w:ascii="Times New Roman" w:hAnsi="方正书宋_GBK" w:eastAsia="方正书宋_GBK" w:cs="方正书宋_GBK"/>
                <w:kern w:val="0"/>
                <w:sz w:val="24"/>
                <w:szCs w:val="24"/>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编制全市电动汽车充电基础设施布局规划。</w:t>
            </w:r>
          </w:p>
        </w:tc>
        <w:tc>
          <w:tcPr>
            <w:tcW w:w="1525" w:type="dxa"/>
            <w:vMerge w:val="continue"/>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2016</w:t>
            </w:r>
            <w:r>
              <w:rPr>
                <w:rFonts w:hint="default" w:ascii="Times New Roman" w:hAnsi="方正书宋_GBK" w:eastAsia="方正书宋_GBK" w:cs="方正书宋_GBK"/>
                <w:kern w:val="0"/>
                <w:sz w:val="24"/>
                <w:szCs w:val="24"/>
                <w:lang w:val="en-US" w:eastAsia="zh-CN" w:bidi="ar"/>
              </w:rPr>
              <w:t>年</w:t>
            </w:r>
            <w:r>
              <w:rPr>
                <w:rFonts w:eastAsia="方正书宋_GBK" w:asciiTheme="minorHAnsi" w:hAnsiTheme="minorHAnsi" w:cstheme="minorBidi"/>
                <w:kern w:val="0"/>
                <w:sz w:val="24"/>
                <w:szCs w:val="24"/>
                <w:lang w:val="en-US" w:eastAsia="zh-CN" w:bidi="ar"/>
              </w:rPr>
              <w:t>3</w:t>
            </w:r>
            <w:r>
              <w:rPr>
                <w:rFonts w:hint="default" w:ascii="Times New Roman" w:hAnsi="方正书宋_GBK" w:eastAsia="方正书宋_GBK" w:cs="方正书宋_GBK"/>
                <w:kern w:val="0"/>
                <w:sz w:val="24"/>
                <w:szCs w:val="24"/>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21</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协调独立充换电站选址布点。</w:t>
            </w:r>
          </w:p>
        </w:tc>
        <w:tc>
          <w:tcPr>
            <w:tcW w:w="1525" w:type="dxa"/>
            <w:vMerge w:val="continue"/>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22</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监督执行电动汽车充电服务相关电价政策。</w:t>
            </w:r>
          </w:p>
        </w:tc>
        <w:tc>
          <w:tcPr>
            <w:tcW w:w="152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市物价局</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23</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鼓励金融机构支持电动汽车充电基础设施建设。</w:t>
            </w:r>
          </w:p>
        </w:tc>
        <w:tc>
          <w:tcPr>
            <w:tcW w:w="152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市金融办</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2016</w:t>
            </w:r>
            <w:r>
              <w:rPr>
                <w:rFonts w:hint="default" w:ascii="Times New Roman" w:hAnsi="方正书宋_GBK" w:eastAsia="方正书宋_GBK" w:cs="方正书宋_GBK"/>
                <w:kern w:val="0"/>
                <w:sz w:val="24"/>
                <w:szCs w:val="24"/>
                <w:lang w:val="en-US" w:eastAsia="zh-CN" w:bidi="ar"/>
              </w:rPr>
              <w:t>年</w:t>
            </w:r>
            <w:r>
              <w:rPr>
                <w:rFonts w:eastAsia="方正书宋_GBK" w:asciiTheme="minorHAnsi" w:hAnsiTheme="minorHAnsi" w:cstheme="minorBidi"/>
                <w:kern w:val="0"/>
                <w:sz w:val="24"/>
                <w:szCs w:val="24"/>
                <w:lang w:val="en-US" w:eastAsia="zh-CN" w:bidi="ar"/>
              </w:rPr>
              <w:t>2</w:t>
            </w:r>
            <w:r>
              <w:rPr>
                <w:rFonts w:hint="default" w:ascii="Times New Roman" w:hAnsi="方正书宋_GBK" w:eastAsia="方正书宋_GBK" w:cs="方正书宋_GBK"/>
                <w:kern w:val="0"/>
                <w:sz w:val="24"/>
                <w:szCs w:val="24"/>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24</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贯彻落实国家相关规范标准，负责我市电动汽车充电基础设施地方标准的审批和发布。</w:t>
            </w:r>
          </w:p>
        </w:tc>
        <w:tc>
          <w:tcPr>
            <w:tcW w:w="152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市质监局</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2016</w:t>
            </w:r>
            <w:r>
              <w:rPr>
                <w:rFonts w:hint="default" w:ascii="Times New Roman" w:hAnsi="方正书宋_GBK" w:eastAsia="方正书宋_GBK" w:cs="方正书宋_GBK"/>
                <w:kern w:val="0"/>
                <w:sz w:val="24"/>
                <w:szCs w:val="24"/>
                <w:lang w:val="en-US" w:eastAsia="zh-CN" w:bidi="ar"/>
              </w:rPr>
              <w:t>年</w:t>
            </w:r>
            <w:r>
              <w:rPr>
                <w:rFonts w:eastAsia="方正书宋_GBK" w:asciiTheme="minorHAnsi" w:hAnsiTheme="minorHAnsi" w:cstheme="minorBidi"/>
                <w:kern w:val="0"/>
                <w:sz w:val="24"/>
                <w:szCs w:val="24"/>
                <w:lang w:val="en-US" w:eastAsia="zh-CN" w:bidi="ar"/>
              </w:rPr>
              <w:t>2</w:t>
            </w:r>
            <w:r>
              <w:rPr>
                <w:rFonts w:hint="default" w:ascii="Times New Roman" w:hAnsi="方正书宋_GBK" w:eastAsia="方正书宋_GBK" w:cs="方正书宋_GBK"/>
                <w:kern w:val="0"/>
                <w:sz w:val="24"/>
                <w:szCs w:val="24"/>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25</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spacing w:val="-4"/>
                <w:kern w:val="0"/>
                <w:sz w:val="24"/>
                <w:szCs w:val="24"/>
                <w:lang w:val="en-US" w:eastAsia="zh-CN" w:bidi="ar"/>
              </w:rPr>
              <w:t>制订电动汽车充电基础设施消防技术要求，对设置电动汽车充电基础设施的场所进行消防安全指导。</w:t>
            </w:r>
          </w:p>
        </w:tc>
        <w:tc>
          <w:tcPr>
            <w:tcW w:w="152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市公安消防总队</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2016</w:t>
            </w:r>
            <w:r>
              <w:rPr>
                <w:rFonts w:hint="default" w:ascii="Times New Roman" w:hAnsi="方正书宋_GBK" w:eastAsia="方正书宋_GBK" w:cs="方正书宋_GBK"/>
                <w:kern w:val="0"/>
                <w:sz w:val="24"/>
                <w:szCs w:val="24"/>
                <w:lang w:val="en-US" w:eastAsia="zh-CN" w:bidi="ar"/>
              </w:rPr>
              <w:t>年</w:t>
            </w:r>
            <w:r>
              <w:rPr>
                <w:rFonts w:eastAsia="方正书宋_GBK" w:asciiTheme="minorHAnsi" w:hAnsiTheme="minorHAnsi" w:cstheme="minorBidi"/>
                <w:kern w:val="0"/>
                <w:sz w:val="24"/>
                <w:szCs w:val="24"/>
                <w:lang w:val="en-US" w:eastAsia="zh-CN" w:bidi="ar"/>
              </w:rPr>
              <w:t>2</w:t>
            </w:r>
            <w:r>
              <w:rPr>
                <w:rFonts w:hint="default" w:ascii="Times New Roman" w:hAnsi="方正书宋_GBK" w:eastAsia="方正书宋_GBK" w:cs="方正书宋_GBK"/>
                <w:kern w:val="0"/>
                <w:sz w:val="24"/>
                <w:szCs w:val="24"/>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26</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在市属党政机关事业单位推广应用电动汽车，督促建设电动汽车充电基础设施。</w:t>
            </w:r>
          </w:p>
        </w:tc>
        <w:tc>
          <w:tcPr>
            <w:tcW w:w="152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市机关事务局</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27</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在市属国有企业推广应用电动汽车，督促建设电动汽车充电基础设施。</w:t>
            </w:r>
          </w:p>
        </w:tc>
        <w:tc>
          <w:tcPr>
            <w:tcW w:w="152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市国资委</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28</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编制本行政区域内电动汽车充电基础设施建设规划，明确建设目标和时序。</w:t>
            </w:r>
          </w:p>
        </w:tc>
        <w:tc>
          <w:tcPr>
            <w:tcW w:w="1525" w:type="dxa"/>
            <w:vMerge w:val="restart"/>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各区县（自治县）人民政府，北部新区管委会、万盛经开区管委会</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2016</w:t>
            </w:r>
            <w:r>
              <w:rPr>
                <w:rFonts w:hint="default" w:ascii="Times New Roman" w:hAnsi="方正书宋_GBK" w:eastAsia="方正书宋_GBK" w:cs="方正书宋_GBK"/>
                <w:kern w:val="0"/>
                <w:sz w:val="24"/>
                <w:szCs w:val="24"/>
                <w:lang w:val="en-US" w:eastAsia="zh-CN" w:bidi="ar"/>
              </w:rPr>
              <w:t>年</w:t>
            </w:r>
            <w:r>
              <w:rPr>
                <w:rFonts w:eastAsia="方正书宋_GBK" w:asciiTheme="minorHAnsi" w:hAnsiTheme="minorHAnsi" w:cstheme="minorBidi"/>
                <w:kern w:val="0"/>
                <w:sz w:val="24"/>
                <w:szCs w:val="24"/>
                <w:lang w:val="en-US" w:eastAsia="zh-CN" w:bidi="ar"/>
              </w:rPr>
              <w:t>2</w:t>
            </w:r>
            <w:r>
              <w:rPr>
                <w:rFonts w:hint="default" w:ascii="Times New Roman" w:hAnsi="方正书宋_GBK" w:eastAsia="方正书宋_GBK" w:cs="方正书宋_GBK"/>
                <w:kern w:val="0"/>
                <w:sz w:val="24"/>
                <w:szCs w:val="24"/>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29</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按全市总体规划和安排部署推进本行政区域内电动汽车充电基础设施建设。</w:t>
            </w:r>
          </w:p>
        </w:tc>
        <w:tc>
          <w:tcPr>
            <w:tcW w:w="1525" w:type="dxa"/>
            <w:vMerge w:val="continue"/>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30</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公开招投标确定本行政区域内没有明确建设主体的独立公共充换电站项目建设单位。</w:t>
            </w:r>
          </w:p>
        </w:tc>
        <w:tc>
          <w:tcPr>
            <w:tcW w:w="1525" w:type="dxa"/>
            <w:vMerge w:val="continue"/>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31</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简化和规范电动汽车充电基础设施报装管理办法，明确办理流程和时限等。</w:t>
            </w:r>
          </w:p>
        </w:tc>
        <w:tc>
          <w:tcPr>
            <w:tcW w:w="1525" w:type="dxa"/>
            <w:vMerge w:val="restart"/>
            <w:tcBorders>
              <w:top w:val="single" w:color="auto" w:sz="2" w:space="0"/>
              <w:left w:val="single" w:color="auto" w:sz="2" w:space="0"/>
              <w:bottom w:val="single" w:color="auto" w:sz="6"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电网企业</w:t>
            </w: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2016</w:t>
            </w:r>
            <w:r>
              <w:rPr>
                <w:rFonts w:hint="default" w:ascii="Times New Roman" w:hAnsi="方正书宋_GBK" w:eastAsia="方正书宋_GBK" w:cs="方正书宋_GBK"/>
                <w:kern w:val="0"/>
                <w:sz w:val="24"/>
                <w:szCs w:val="24"/>
                <w:lang w:val="en-US" w:eastAsia="zh-CN" w:bidi="ar"/>
              </w:rPr>
              <w:t>年</w:t>
            </w:r>
            <w:r>
              <w:rPr>
                <w:rFonts w:eastAsia="方正书宋_GBK" w:asciiTheme="minorHAnsi" w:hAnsiTheme="minorHAnsi" w:cstheme="minorBidi"/>
                <w:kern w:val="0"/>
                <w:sz w:val="24"/>
                <w:szCs w:val="24"/>
                <w:lang w:val="en-US" w:eastAsia="zh-CN" w:bidi="ar"/>
              </w:rPr>
              <w:t>2</w:t>
            </w:r>
            <w:r>
              <w:rPr>
                <w:rFonts w:hint="default" w:ascii="Times New Roman" w:hAnsi="方正书宋_GBK" w:eastAsia="方正书宋_GBK" w:cs="方正书宋_GBK"/>
                <w:kern w:val="0"/>
                <w:sz w:val="24"/>
                <w:szCs w:val="24"/>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32</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将电动汽车充电基础设施配套电网建设与改造项目纳入配电网专项规划。</w:t>
            </w:r>
          </w:p>
        </w:tc>
        <w:tc>
          <w:tcPr>
            <w:tcW w:w="1525" w:type="dxa"/>
            <w:vMerge w:val="continue"/>
            <w:tcBorders>
              <w:top w:val="single" w:color="auto" w:sz="2" w:space="0"/>
              <w:left w:val="single" w:color="auto" w:sz="2" w:space="0"/>
              <w:bottom w:val="single" w:color="auto" w:sz="6"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2016</w:t>
            </w:r>
            <w:r>
              <w:rPr>
                <w:rFonts w:hint="default" w:ascii="Times New Roman" w:hAnsi="方正书宋_GBK" w:eastAsia="方正书宋_GBK" w:cs="方正书宋_GBK"/>
                <w:kern w:val="0"/>
                <w:sz w:val="24"/>
                <w:szCs w:val="24"/>
                <w:lang w:val="en-US" w:eastAsia="zh-CN" w:bidi="ar"/>
              </w:rPr>
              <w:t>年</w:t>
            </w:r>
            <w:r>
              <w:rPr>
                <w:rFonts w:eastAsia="方正书宋_GBK" w:asciiTheme="minorHAnsi" w:hAnsiTheme="minorHAnsi" w:cstheme="minorBidi"/>
                <w:kern w:val="0"/>
                <w:sz w:val="24"/>
                <w:szCs w:val="24"/>
                <w:lang w:val="en-US" w:eastAsia="zh-CN" w:bidi="ar"/>
              </w:rPr>
              <w:t>4</w:t>
            </w:r>
            <w:r>
              <w:rPr>
                <w:rFonts w:hint="default" w:ascii="Times New Roman" w:hAnsi="方正书宋_GBK" w:eastAsia="方正书宋_GBK" w:cs="方正书宋_GBK"/>
                <w:kern w:val="0"/>
                <w:sz w:val="24"/>
                <w:szCs w:val="24"/>
                <w:lang w:val="en-US" w:eastAsia="zh-CN" w:bidi="ar"/>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33</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按照“就近用电接入”原则，为电动汽车充电基础设施接入电网提供便利条件。</w:t>
            </w:r>
          </w:p>
        </w:tc>
        <w:tc>
          <w:tcPr>
            <w:tcW w:w="1525" w:type="dxa"/>
            <w:vMerge w:val="continue"/>
            <w:tcBorders>
              <w:top w:val="single" w:color="auto" w:sz="2" w:space="0"/>
              <w:left w:val="single" w:color="auto" w:sz="2" w:space="0"/>
              <w:bottom w:val="single" w:color="auto" w:sz="6"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34</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负责充电设施从产权分界点至公共电网的配套接网工程。</w:t>
            </w:r>
          </w:p>
        </w:tc>
        <w:tc>
          <w:tcPr>
            <w:tcW w:w="1525" w:type="dxa"/>
            <w:vMerge w:val="continue"/>
            <w:tcBorders>
              <w:top w:val="single" w:color="auto" w:sz="2" w:space="0"/>
              <w:left w:val="single" w:color="auto" w:sz="2" w:space="0"/>
              <w:bottom w:val="single" w:color="auto" w:sz="6"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35</w:t>
            </w:r>
          </w:p>
        </w:tc>
        <w:tc>
          <w:tcPr>
            <w:tcW w:w="5011"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spacing w:val="-6"/>
                <w:kern w:val="0"/>
                <w:sz w:val="24"/>
                <w:szCs w:val="24"/>
                <w:lang w:val="en-US" w:eastAsia="zh-CN" w:bidi="ar"/>
              </w:rPr>
              <w:t>根据电动汽车充电基础设施充电服务价格分类为充电服务商和用户需要提供安全可靠的用电服务。</w:t>
            </w:r>
          </w:p>
        </w:tc>
        <w:tc>
          <w:tcPr>
            <w:tcW w:w="1525" w:type="dxa"/>
            <w:vMerge w:val="continue"/>
            <w:tcBorders>
              <w:top w:val="single" w:color="auto" w:sz="2" w:space="0"/>
              <w:left w:val="single" w:color="auto" w:sz="2" w:space="0"/>
              <w:bottom w:val="single" w:color="auto" w:sz="6"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2"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trHeight w:val="425" w:hRule="atLeast"/>
          <w:jc w:val="center"/>
        </w:trPr>
        <w:tc>
          <w:tcPr>
            <w:tcW w:w="607" w:type="dxa"/>
            <w:tcBorders>
              <w:top w:val="single" w:color="auto" w:sz="2" w:space="0"/>
              <w:left w:val="single" w:color="auto" w:sz="6" w:space="0"/>
              <w:bottom w:val="single" w:color="auto" w:sz="6"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eastAsia="方正书宋_GBK" w:asciiTheme="minorHAnsi" w:hAnsiTheme="minorHAnsi" w:cstheme="minorBidi"/>
                <w:kern w:val="0"/>
                <w:sz w:val="24"/>
                <w:szCs w:val="24"/>
                <w:lang w:val="en-US" w:eastAsia="zh-CN" w:bidi="ar"/>
              </w:rPr>
              <w:t>36</w:t>
            </w:r>
          </w:p>
        </w:tc>
        <w:tc>
          <w:tcPr>
            <w:tcW w:w="5011" w:type="dxa"/>
            <w:tcBorders>
              <w:top w:val="single" w:color="auto" w:sz="2" w:space="0"/>
              <w:left w:val="single" w:color="auto" w:sz="2" w:space="0"/>
              <w:bottom w:val="single" w:color="auto" w:sz="6" w:space="0"/>
              <w:right w:val="single" w:color="auto" w:sz="2"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方正书宋_GBK" w:eastAsia="方正书宋_GBK" w:cs="方正书宋_GBK"/>
                <w:kern w:val="0"/>
                <w:sz w:val="24"/>
                <w:szCs w:val="24"/>
                <w:lang w:val="en-US" w:eastAsia="zh-CN" w:bidi="ar"/>
              </w:rPr>
              <w:t>严肃查处私拉电线、违规用电等行为。</w:t>
            </w:r>
          </w:p>
        </w:tc>
        <w:tc>
          <w:tcPr>
            <w:tcW w:w="1525" w:type="dxa"/>
            <w:vMerge w:val="continue"/>
            <w:tcBorders>
              <w:top w:val="single" w:color="auto" w:sz="2" w:space="0"/>
              <w:left w:val="single" w:color="auto" w:sz="2" w:space="0"/>
              <w:bottom w:val="single" w:color="auto" w:sz="6" w:space="0"/>
              <w:right w:val="single" w:color="auto" w:sz="2" w:space="0"/>
            </w:tcBorders>
            <w:shd w:val="clear" w:color="auto" w:fill="auto"/>
            <w:tcMar>
              <w:left w:w="28" w:type="dxa"/>
              <w:right w:w="28" w:type="dxa"/>
            </w:tcMar>
            <w:vAlign w:val="center"/>
          </w:tcPr>
          <w:p>
            <w:pPr>
              <w:jc w:val="left"/>
              <w:rPr>
                <w:rFonts w:hint="eastAsia" w:ascii="宋体"/>
                <w:sz w:val="24"/>
                <w:szCs w:val="24"/>
              </w:rPr>
            </w:pPr>
          </w:p>
        </w:tc>
        <w:tc>
          <w:tcPr>
            <w:tcW w:w="1679" w:type="dxa"/>
            <w:tcBorders>
              <w:top w:val="single" w:color="auto" w:sz="2" w:space="0"/>
              <w:left w:val="single" w:color="auto" w:sz="2" w:space="0"/>
              <w:bottom w:val="single" w:color="auto" w:sz="6" w:space="0"/>
              <w:right w:val="single" w:color="auto" w:sz="6" w:space="0"/>
            </w:tcBorders>
            <w:shd w:val="clear" w:color="auto" w:fill="auto"/>
            <w:tcMar>
              <w:left w:w="28" w:type="dxa"/>
              <w:right w:w="2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方正书宋_GBK" w:eastAsia="方正书宋_GBK" w:cs="方正书宋_GBK"/>
                <w:kern w:val="0"/>
                <w:sz w:val="24"/>
                <w:szCs w:val="24"/>
                <w:lang w:val="en-US" w:eastAsia="zh-CN" w:bidi="ar"/>
              </w:rPr>
              <w:t>持续至</w:t>
            </w:r>
            <w:r>
              <w:rPr>
                <w:rFonts w:eastAsia="方正书宋_GBK" w:asciiTheme="minorHAnsi" w:hAnsiTheme="minorHAnsi" w:cstheme="minorBidi"/>
                <w:kern w:val="0"/>
                <w:sz w:val="24"/>
                <w:szCs w:val="24"/>
                <w:lang w:val="en-US" w:eastAsia="zh-CN" w:bidi="ar"/>
              </w:rPr>
              <w:t>2020</w:t>
            </w:r>
            <w:r>
              <w:rPr>
                <w:rFonts w:hint="default" w:ascii="Times New Roman" w:hAnsi="方正书宋_GBK" w:eastAsia="方正书宋_GBK" w:cs="方正书宋_GBK"/>
                <w:kern w:val="0"/>
                <w:sz w:val="24"/>
                <w:szCs w:val="24"/>
                <w:lang w:val="en-US" w:eastAsia="zh-CN" w:bidi="ar"/>
              </w:rPr>
              <w:t>年</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1F00FF" w:csb1="FFFF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1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D60C2"/>
    <w:rsid w:val="5FBD60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2016-01-26T08:09:00Z</dcterms:created>
  <dc:creator>Administrator</dc:creator>
  <cp:lastModifiedBy>Administrator</cp:lastModifiedBy>
  <dcterms:modified xsi:type="dcterms:W3CDTF">2016-01-26T08:11:47Z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