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keepNext w:val="0"/>
        <w:keepLines w:val="0"/>
        <w:pageBreakBefore w:val="0"/>
        <w:widowControl/>
        <w:numPr>
          <w:ilvl w:val="0"/>
          <w:numId w:val="0"/>
        </w:numPr>
        <w:suppressLineNumbers w:val="0"/>
        <w:pBdr>
          <w:top w:val="none" w:color="auto" w:sz="0" w:space="0"/>
          <w:left w:val="none" w:color="auto" w:sz="0" w:space="0"/>
          <w:bottom w:val="single" w:color="E7E7EB" w:sz="6" w:space="7"/>
          <w:right w:val="none" w:color="auto" w:sz="0" w:space="0"/>
        </w:pBdr>
        <w:tabs>
          <w:tab w:val="clear" w:pos="1062"/>
          <w:tab w:val="clear" w:pos="576"/>
        </w:tabs>
        <w:kinsoku/>
        <w:overflowPunct/>
        <w:topLinePunct w:val="0"/>
        <w:autoSpaceDE/>
        <w:autoSpaceDN/>
        <w:bidi w:val="0"/>
        <w:adjustRightInd/>
        <w:snapToGrid/>
        <w:spacing w:before="79" w:beforeLines="25" w:beforeAutospacing="0" w:after="79" w:afterLines="25" w:afterAutospacing="0" w:line="375" w:lineRule="atLeast"/>
        <w:ind w:right="0" w:rightChars="0"/>
        <w:jc w:val="center"/>
        <w:textAlignment w:val="auto"/>
        <w:rPr>
          <w:rFonts w:hint="eastAsia" w:ascii="仿宋" w:hAnsi="仿宋" w:eastAsia="仿宋" w:cs="仿宋"/>
          <w:color w:val="auto"/>
          <w:sz w:val="28"/>
          <w:szCs w:val="28"/>
        </w:rPr>
      </w:pPr>
      <w:r>
        <w:rPr>
          <w:rFonts w:hint="eastAsia" w:ascii="仿宋" w:hAnsi="仿宋" w:eastAsia="仿宋" w:cs="仿宋"/>
          <w:b/>
          <w:bCs/>
          <w:i w:val="0"/>
          <w:caps w:val="0"/>
          <w:color w:val="auto"/>
          <w:spacing w:val="0"/>
          <w:sz w:val="32"/>
          <w:szCs w:val="32"/>
          <w:shd w:val="clear" w:color="auto" w:fill="FFFFFF"/>
        </w:rPr>
        <w:t>北京市财政局北京市科学技术委员会北京市经济和信息化委员会关于推广应用纯电动客车财政补助政策(修订)的通知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京财经一〔2016〕522号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各相关单位: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为贯彻落实财政部、科技部、工业和信息化部、发展改革委《关于继续开展新能源汽车推广应用工作的通知》(财建〔2013〕551号)、《关于2016-2020年新能源汽车推广应用财政支持政策的通知》(财建〔2015〕134号)和《北京市2013-2017年清洁空气行动计划》文件要求,加快纯电动客车的推广应用,现就我市推广应用纯电动客车财政补助政策(修订)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一、补助范围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自2016年1月1日起至2017年12月31日,凡纳入国家《新能源汽车推广应用推荐车型目录》和《免征车辆购置税的新能源汽车车型目录》,且符合本市产品技术、安全及售后服务等要求的纯电动客车,在取得我市车辆登记牌照后,可申请享受本市纯电动客车财政补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行政事业单位使用财政资金购买纯电动客车不纳入本通知规定的补助范围。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二、职责分工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按照北京市新能源汽车联席会要求,北京市科学技术委员会负责协调相关委办局推动纯电动客车的示范应用;北京市财政局负责财政补助资金的安排和监督;北京市经济和信息化委员会负责补助资金的兑付,并委托北京环境交易所(以下简称“环交所”)负责受理和审核财政补助资金申请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三、补助方式及补助标准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本市财政补助的对象是消费者,消费者按车辆销售价格(车辆销售价格是汽车销售发票上价税合计金额与中央、市级补助资金的总额)扣减补助后支付车价款,汽车生产企业按扣减补助后的价格销售纯电动客车。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本市注册的汽车生产企业申请本市财政补助资金,补助资金直接兑付到汽车生产企业。非本市注册的汽车生产企业申请本市财政补助资金,须授权委托一家在京注册登记的具有独立法人资格的汽车销售机构统一申请,补助资金兑付到该汽车销售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在中央补助基础上,本市纯电动客车补助按中央标准1:1确定,2016年补助标准详见附件1,2017年补助标准在2016年基础上下降20%。如国家政策调整,本市财政补助标准参照国家政策另行制定。汽车生产企业申请中央和本市财政补助总额最高不超过车辆销售价格的60%。如补助总额高于车辆销售价格的60%,按车辆销售价格60%扣除中央补助后计算本市财政补助金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申请补助资金所提供的材料及补助流程见附件2。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四、监督检查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汽车企业对提供材料的真实性负责,凡纯电动客车产品与申报材料不符、性能指标未达到要求,提供虚假信息、骗取补助资金等违规、违法情形的,由市财政局、市经济和信息化委员会要求企业退回补助资金,并取消企业申请补助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北京市财政局对财政资金使用进行监督管理,将汽车企业申报、环交所审核和北京市经济和信息化委员会拨付管理纳入监管范围,综合运用自查自纠、专项检查、重点抽查等方式,强化资金使用监督管理,并充分利用监督成果,不断改进和完善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补助资金必须专款专用,任何单位不得以任何理由、任何形式截留、挪用。对违反规定的,将依照《财政违法行为处罚处分条例》(国务院令第427号)等有关规定,依法追究有关单位和人员的责任。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五、附则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本市注册汽车生产企业申请中央财政补助资金,按照《关于继续开展新能源汽车推广应用工作的通知》(财建〔2013〕551号)、《关于2016-2020年新能源汽车推广应用财政支持政策的通知》(财建〔2015〕134号)和《关于进一步做好新能源汽车推广应用工作的通知》(财建〔2014〕11号)政策规定进行申报,市财政局按中央要求及时将补助资金兑付到相关汽车生产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shd w:val="clear" w:color="auto" w:fill="auto"/>
        </w:rPr>
      </w:pPr>
      <w:r>
        <w:rPr>
          <w:rFonts w:hint="eastAsia" w:ascii="仿宋" w:hAnsi="仿宋" w:eastAsia="仿宋" w:cs="仿宋"/>
          <w:b w:val="0"/>
          <w:i w:val="0"/>
          <w:caps w:val="0"/>
          <w:color w:val="auto"/>
          <w:spacing w:val="0"/>
          <w:sz w:val="28"/>
          <w:szCs w:val="28"/>
          <w:shd w:val="clear" w:color="auto" w:fill="auto"/>
        </w:rPr>
        <w:t>《北京市财政局北京市科学技术委员会北京市经济和信息化委员会关于购买纯电动客车有关财政政策的通知》(京财经一〔2015〕1159号)同时废止。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附件:1.</w:t>
      </w:r>
      <w:r>
        <w:rPr>
          <w:rFonts w:hint="eastAsia" w:ascii="仿宋" w:hAnsi="仿宋" w:eastAsia="仿宋" w:cs="仿宋"/>
          <w:b w:val="0"/>
          <w:i w:val="0"/>
          <w:caps w:val="0"/>
          <w:color w:val="auto"/>
          <w:spacing w:val="0"/>
          <w:sz w:val="28"/>
          <w:szCs w:val="28"/>
          <w:shd w:val="clear" w:color="auto" w:fill="FFFFFF"/>
        </w:rPr>
        <w:fldChar w:fldCharType="begin"/>
      </w:r>
      <w:r>
        <w:rPr>
          <w:rFonts w:hint="eastAsia" w:ascii="仿宋" w:hAnsi="仿宋" w:eastAsia="仿宋" w:cs="仿宋"/>
          <w:b w:val="0"/>
          <w:i w:val="0"/>
          <w:caps w:val="0"/>
          <w:color w:val="auto"/>
          <w:spacing w:val="0"/>
          <w:sz w:val="28"/>
          <w:szCs w:val="28"/>
          <w:shd w:val="clear" w:color="auto" w:fill="FFFFFF"/>
        </w:rPr>
        <w:instrText xml:space="preserve">INCLUDEPICTURE \d "https://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hint="eastAsia" w:ascii="仿宋" w:hAnsi="仿宋" w:eastAsia="仿宋" w:cs="仿宋"/>
          <w:b w:val="0"/>
          <w:i w:val="0"/>
          <w:caps w:val="0"/>
          <w:color w:val="auto"/>
          <w:spacing w:val="0"/>
          <w:sz w:val="28"/>
          <w:szCs w:val="28"/>
          <w:shd w:val="clear" w:color="auto" w:fill="FFFFFF"/>
        </w:rPr>
        <w:fldChar w:fldCharType="separate"/>
      </w:r>
      <w:r>
        <w:rPr>
          <w:rFonts w:hint="eastAsia" w:ascii="仿宋" w:hAnsi="仿宋" w:eastAsia="仿宋" w:cs="仿宋"/>
          <w:b w:val="0"/>
          <w:i w:val="0"/>
          <w:caps w:val="0"/>
          <w:color w:val="auto"/>
          <w:spacing w:val="0"/>
          <w:sz w:val="28"/>
          <w:szCs w:val="28"/>
          <w:shd w:val="clear" w:color="auto" w:fill="FFFFFF"/>
        </w:rPr>
        <w:fldChar w:fldCharType="end"/>
      </w:r>
      <w:r>
        <w:rPr>
          <w:rFonts w:hint="eastAsia" w:ascii="仿宋" w:hAnsi="仿宋" w:eastAsia="仿宋" w:cs="仿宋"/>
          <w:b w:val="0"/>
          <w:i w:val="0"/>
          <w:caps w:val="0"/>
          <w:color w:val="auto"/>
          <w:spacing w:val="0"/>
          <w:sz w:val="28"/>
          <w:szCs w:val="28"/>
          <w:shd w:val="clear" w:color="auto" w:fill="FFFFFF"/>
        </w:rPr>
        <w:t>2016年纯电动客车推广应用补助标准.doc</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2.</w:t>
      </w:r>
      <w:r>
        <w:rPr>
          <w:rFonts w:hint="eastAsia" w:ascii="仿宋" w:hAnsi="仿宋" w:eastAsia="仿宋" w:cs="仿宋"/>
          <w:b w:val="0"/>
          <w:i w:val="0"/>
          <w:caps w:val="0"/>
          <w:color w:val="auto"/>
          <w:spacing w:val="0"/>
          <w:sz w:val="28"/>
          <w:szCs w:val="28"/>
          <w:shd w:val="clear" w:color="auto" w:fill="FFFFFF"/>
        </w:rPr>
        <w:fldChar w:fldCharType="begin"/>
      </w:r>
      <w:r>
        <w:rPr>
          <w:rFonts w:hint="eastAsia" w:ascii="仿宋" w:hAnsi="仿宋" w:eastAsia="仿宋" w:cs="仿宋"/>
          <w:b w:val="0"/>
          <w:i w:val="0"/>
          <w:caps w:val="0"/>
          <w:color w:val="auto"/>
          <w:spacing w:val="0"/>
          <w:sz w:val="28"/>
          <w:szCs w:val="28"/>
          <w:shd w:val="clear" w:color="auto" w:fill="FFFFFF"/>
        </w:rPr>
        <w:instrText xml:space="preserve">INCLUDEPICTURE \d "https://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hint="eastAsia" w:ascii="仿宋" w:hAnsi="仿宋" w:eastAsia="仿宋" w:cs="仿宋"/>
          <w:b w:val="0"/>
          <w:i w:val="0"/>
          <w:caps w:val="0"/>
          <w:color w:val="auto"/>
          <w:spacing w:val="0"/>
          <w:sz w:val="28"/>
          <w:szCs w:val="28"/>
          <w:shd w:val="clear" w:color="auto" w:fill="FFFFFF"/>
        </w:rPr>
        <w:fldChar w:fldCharType="separate"/>
      </w:r>
      <w:r>
        <w:rPr>
          <w:rFonts w:hint="eastAsia" w:ascii="仿宋" w:hAnsi="仿宋" w:eastAsia="仿宋" w:cs="仿宋"/>
          <w:b w:val="0"/>
          <w:i w:val="0"/>
          <w:caps w:val="0"/>
          <w:color w:val="auto"/>
          <w:spacing w:val="0"/>
          <w:sz w:val="28"/>
          <w:szCs w:val="28"/>
          <w:shd w:val="clear" w:color="auto" w:fill="FFFFFF"/>
        </w:rPr>
        <w:fldChar w:fldCharType="end"/>
      </w:r>
      <w:r>
        <w:rPr>
          <w:rFonts w:hint="eastAsia" w:ascii="仿宋" w:hAnsi="仿宋" w:eastAsia="仿宋" w:cs="仿宋"/>
          <w:b w:val="0"/>
          <w:i w:val="0"/>
          <w:caps w:val="0"/>
          <w:color w:val="auto"/>
          <w:spacing w:val="0"/>
          <w:sz w:val="28"/>
          <w:szCs w:val="28"/>
          <w:shd w:val="clear" w:color="auto" w:fill="FFFFFF"/>
        </w:rPr>
        <w:t>申请新能源汽车财政补助资金工作流程 .doc</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北京市财政局北京市科学技术委员会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北京市经济和信息化委员会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2016年4月6日</w:t>
      </w:r>
    </w:p>
    <w:tbl>
      <w:tblPr>
        <w:tblStyle w:val="7"/>
        <w:tblW w:w="100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97"/>
        <w:gridCol w:w="3784"/>
        <w:gridCol w:w="4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10049" w:type="dxa"/>
            <w:gridSpan w:val="3"/>
            <w:tcBorders>
              <w:top w:val="single" w:color="F0F0F0" w:sz="6" w:space="0"/>
              <w:left w:val="single" w:color="F0F0F0" w:sz="6" w:space="0"/>
              <w:bottom w:val="single" w:color="auto" w:sz="6" w:space="0"/>
              <w:right w:val="single" w:color="F0F0F0" w:sz="6" w:space="0"/>
            </w:tcBorders>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附件一：</w:t>
            </w:r>
            <w:bookmarkStart w:id="0" w:name="_GoBack"/>
            <w:bookmarkEnd w:id="0"/>
            <w:r>
              <w:rPr>
                <w:rFonts w:hint="eastAsia" w:ascii="仿宋" w:hAnsi="仿宋" w:eastAsia="仿宋" w:cs="仿宋"/>
                <w:color w:val="auto"/>
                <w:sz w:val="28"/>
                <w:szCs w:val="28"/>
              </w:rPr>
              <w:t>2016年纯电动客车推广应用补助标准(单位:万元/辆)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1997" w:type="dxa"/>
            <w:vMerge w:val="restart"/>
            <w:tcBorders>
              <w:top w:val="single" w:color="F0F0F0" w:sz="6" w:space="0"/>
              <w:left w:val="single" w:color="auto" w:sz="6" w:space="0"/>
              <w:bottom w:val="single" w:color="auto" w:sz="6" w:space="0"/>
              <w:right w:val="single" w:color="auto" w:sz="6" w:space="0"/>
            </w:tcBorders>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单位载质量能量消耗量(Ekg,Wh/km·kg)</w:t>
            </w:r>
          </w:p>
        </w:tc>
        <w:tc>
          <w:tcPr>
            <w:tcW w:w="8052" w:type="dxa"/>
            <w:gridSpan w:val="2"/>
            <w:tcBorders>
              <w:top w:val="single" w:color="F0F0F0" w:sz="6" w:space="0"/>
              <w:left w:val="single" w:color="F0F0F0" w:sz="6" w:space="0"/>
              <w:bottom w:val="single" w:color="auto" w:sz="6" w:space="0"/>
              <w:right w:val="single" w:color="auto" w:sz="6" w:space="0"/>
            </w:tcBorders>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标准车(10米&lt;车长≤12米)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1997" w:type="dxa"/>
            <w:vMerge w:val="continue"/>
            <w:tcBorders>
              <w:top w:val="single" w:color="F0F0F0" w:sz="6" w:space="0"/>
              <w:left w:val="single" w:color="auto" w:sz="6" w:space="0"/>
              <w:bottom w:val="single" w:color="auto" w:sz="6" w:space="0"/>
              <w:right w:val="single" w:color="auto" w:sz="6" w:space="0"/>
            </w:tcBorders>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rPr>
                <w:rFonts w:hint="eastAsia" w:ascii="仿宋" w:hAnsi="仿宋" w:eastAsia="仿宋" w:cs="仿宋"/>
                <w:color w:val="auto"/>
                <w:sz w:val="28"/>
                <w:szCs w:val="28"/>
              </w:rPr>
            </w:pPr>
          </w:p>
        </w:tc>
        <w:tc>
          <w:tcPr>
            <w:tcW w:w="8052" w:type="dxa"/>
            <w:gridSpan w:val="2"/>
            <w:tcBorders>
              <w:top w:val="single" w:color="F0F0F0" w:sz="6" w:space="0"/>
              <w:left w:val="single" w:color="F0F0F0" w:sz="6" w:space="0"/>
              <w:bottom w:val="single" w:color="auto" w:sz="6" w:space="0"/>
              <w:right w:val="single" w:color="auto" w:sz="6" w:space="0"/>
            </w:tcBorders>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纯电动续驶里程R(等速法、公里)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1997" w:type="dxa"/>
            <w:vMerge w:val="continue"/>
            <w:tcBorders>
              <w:top w:val="single" w:color="F0F0F0" w:sz="6" w:space="0"/>
              <w:left w:val="single" w:color="auto" w:sz="6" w:space="0"/>
              <w:bottom w:val="single" w:color="auto" w:sz="6" w:space="0"/>
              <w:right w:val="single" w:color="auto" w:sz="6" w:space="0"/>
            </w:tcBorders>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rPr>
                <w:rFonts w:hint="eastAsia" w:ascii="仿宋" w:hAnsi="仿宋" w:eastAsia="仿宋" w:cs="仿宋"/>
                <w:color w:val="auto"/>
                <w:sz w:val="28"/>
                <w:szCs w:val="28"/>
              </w:rPr>
            </w:pPr>
          </w:p>
        </w:tc>
        <w:tc>
          <w:tcPr>
            <w:tcW w:w="3784" w:type="dxa"/>
            <w:tcBorders>
              <w:top w:val="single" w:color="F0F0F0" w:sz="6" w:space="0"/>
              <w:left w:val="single" w:color="F0F0F0" w:sz="6" w:space="0"/>
              <w:bottom w:val="single" w:color="auto" w:sz="6" w:space="0"/>
              <w:right w:val="single" w:color="auto" w:sz="6" w:space="0"/>
            </w:tcBorders>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150≤R&lt;250</w:t>
            </w:r>
          </w:p>
        </w:tc>
        <w:tc>
          <w:tcPr>
            <w:tcW w:w="4268" w:type="dxa"/>
            <w:tcBorders>
              <w:top w:val="single" w:color="F0F0F0" w:sz="6" w:space="0"/>
              <w:left w:val="single" w:color="F0F0F0" w:sz="6" w:space="0"/>
              <w:bottom w:val="single" w:color="auto" w:sz="6" w:space="0"/>
              <w:right w:val="single" w:color="auto" w:sz="6" w:space="0"/>
            </w:tcBorders>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R≥250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997" w:type="dxa"/>
            <w:tcBorders>
              <w:top w:val="single" w:color="F0F0F0" w:sz="6" w:space="0"/>
              <w:left w:val="single" w:color="auto" w:sz="6" w:space="0"/>
              <w:bottom w:val="single" w:color="auto" w:sz="6" w:space="0"/>
              <w:right w:val="single" w:color="auto" w:sz="6" w:space="0"/>
            </w:tcBorders>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Ekg&lt;0.25</w:t>
            </w:r>
          </w:p>
        </w:tc>
        <w:tc>
          <w:tcPr>
            <w:tcW w:w="3784" w:type="dxa"/>
            <w:tcBorders>
              <w:top w:val="single" w:color="F0F0F0" w:sz="6" w:space="0"/>
              <w:left w:val="single" w:color="F0F0F0" w:sz="6" w:space="0"/>
              <w:bottom w:val="single" w:color="auto" w:sz="6" w:space="0"/>
              <w:right w:val="single" w:color="auto" w:sz="6" w:space="0"/>
            </w:tcBorders>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42</w:t>
            </w:r>
          </w:p>
        </w:tc>
        <w:tc>
          <w:tcPr>
            <w:tcW w:w="4268" w:type="dxa"/>
            <w:tcBorders>
              <w:top w:val="single" w:color="F0F0F0" w:sz="6" w:space="0"/>
              <w:left w:val="single" w:color="F0F0F0" w:sz="6" w:space="0"/>
              <w:bottom w:val="single" w:color="auto" w:sz="6" w:space="0"/>
              <w:right w:val="single" w:color="auto" w:sz="6" w:space="0"/>
            </w:tcBorders>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997" w:type="dxa"/>
            <w:tcBorders>
              <w:top w:val="single" w:color="F0F0F0" w:sz="6" w:space="0"/>
              <w:left w:val="single" w:color="auto" w:sz="6" w:space="0"/>
              <w:bottom w:val="single" w:color="auto" w:sz="6" w:space="0"/>
              <w:right w:val="single" w:color="auto" w:sz="6" w:space="0"/>
            </w:tcBorders>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0.25≤Ekg&lt;0.35</w:t>
            </w:r>
          </w:p>
        </w:tc>
        <w:tc>
          <w:tcPr>
            <w:tcW w:w="3784" w:type="dxa"/>
            <w:tcBorders>
              <w:top w:val="single" w:color="F0F0F0" w:sz="6" w:space="0"/>
              <w:left w:val="single" w:color="F0F0F0" w:sz="6" w:space="0"/>
              <w:bottom w:val="single" w:color="auto" w:sz="6" w:space="0"/>
              <w:right w:val="single" w:color="auto" w:sz="6" w:space="0"/>
            </w:tcBorders>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38</w:t>
            </w:r>
          </w:p>
        </w:tc>
        <w:tc>
          <w:tcPr>
            <w:tcW w:w="4268" w:type="dxa"/>
            <w:tcBorders>
              <w:top w:val="single" w:color="F0F0F0" w:sz="6" w:space="0"/>
              <w:left w:val="single" w:color="F0F0F0" w:sz="6" w:space="0"/>
              <w:bottom w:val="single" w:color="auto" w:sz="6" w:space="0"/>
              <w:right w:val="single" w:color="auto" w:sz="6" w:space="0"/>
            </w:tcBorders>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997" w:type="dxa"/>
            <w:tcBorders>
              <w:top w:val="single" w:color="F0F0F0" w:sz="6" w:space="0"/>
              <w:left w:val="single" w:color="auto" w:sz="6" w:space="0"/>
              <w:bottom w:val="single" w:color="auto" w:sz="6" w:space="0"/>
              <w:right w:val="single" w:color="auto" w:sz="6" w:space="0"/>
            </w:tcBorders>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0.35≤Ekg&lt;0.5</w:t>
            </w:r>
          </w:p>
        </w:tc>
        <w:tc>
          <w:tcPr>
            <w:tcW w:w="3784" w:type="dxa"/>
            <w:tcBorders>
              <w:top w:val="single" w:color="F0F0F0" w:sz="6" w:space="0"/>
              <w:left w:val="single" w:color="F0F0F0" w:sz="6" w:space="0"/>
              <w:bottom w:val="single" w:color="auto" w:sz="6" w:space="0"/>
              <w:right w:val="single" w:color="auto" w:sz="6" w:space="0"/>
            </w:tcBorders>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34</w:t>
            </w:r>
          </w:p>
        </w:tc>
        <w:tc>
          <w:tcPr>
            <w:tcW w:w="4268" w:type="dxa"/>
            <w:tcBorders>
              <w:top w:val="single" w:color="F0F0F0" w:sz="6" w:space="0"/>
              <w:left w:val="single" w:color="F0F0F0" w:sz="6" w:space="0"/>
              <w:bottom w:val="single" w:color="auto" w:sz="6" w:space="0"/>
              <w:right w:val="single" w:color="auto" w:sz="6" w:space="0"/>
            </w:tcBorders>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997" w:type="dxa"/>
            <w:tcBorders>
              <w:top w:val="single" w:color="F0F0F0" w:sz="6" w:space="0"/>
              <w:left w:val="single" w:color="auto" w:sz="6" w:space="0"/>
              <w:bottom w:val="single" w:color="auto" w:sz="6" w:space="0"/>
              <w:right w:val="single" w:color="auto" w:sz="6" w:space="0"/>
            </w:tcBorders>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0.5≤Ekg&lt;0.6</w:t>
            </w:r>
          </w:p>
        </w:tc>
        <w:tc>
          <w:tcPr>
            <w:tcW w:w="3784" w:type="dxa"/>
            <w:tcBorders>
              <w:top w:val="single" w:color="F0F0F0" w:sz="6" w:space="0"/>
              <w:left w:val="single" w:color="F0F0F0" w:sz="6" w:space="0"/>
              <w:bottom w:val="single" w:color="auto" w:sz="6" w:space="0"/>
              <w:right w:val="single" w:color="auto" w:sz="6" w:space="0"/>
            </w:tcBorders>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30</w:t>
            </w:r>
          </w:p>
        </w:tc>
        <w:tc>
          <w:tcPr>
            <w:tcW w:w="4268" w:type="dxa"/>
            <w:tcBorders>
              <w:top w:val="single" w:color="F0F0F0" w:sz="6" w:space="0"/>
              <w:left w:val="single" w:color="F0F0F0" w:sz="6" w:space="0"/>
              <w:bottom w:val="single" w:color="auto" w:sz="6" w:space="0"/>
              <w:right w:val="single" w:color="auto" w:sz="6" w:space="0"/>
            </w:tcBorders>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997" w:type="dxa"/>
            <w:tcBorders>
              <w:top w:val="single" w:color="F0F0F0" w:sz="6" w:space="0"/>
              <w:left w:val="single" w:color="auto" w:sz="6" w:space="0"/>
              <w:bottom w:val="single" w:color="auto" w:sz="6" w:space="0"/>
              <w:right w:val="single" w:color="auto" w:sz="6" w:space="0"/>
            </w:tcBorders>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0.6≤Ekg&lt;0.7</w:t>
            </w:r>
          </w:p>
        </w:tc>
        <w:tc>
          <w:tcPr>
            <w:tcW w:w="3784" w:type="dxa"/>
            <w:tcBorders>
              <w:top w:val="single" w:color="F0F0F0" w:sz="6" w:space="0"/>
              <w:left w:val="single" w:color="F0F0F0" w:sz="6" w:space="0"/>
              <w:bottom w:val="single" w:color="auto" w:sz="6" w:space="0"/>
              <w:right w:val="single" w:color="auto" w:sz="6" w:space="0"/>
            </w:tcBorders>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24</w:t>
            </w:r>
          </w:p>
        </w:tc>
        <w:tc>
          <w:tcPr>
            <w:tcW w:w="4268" w:type="dxa"/>
            <w:tcBorders>
              <w:top w:val="single" w:color="F0F0F0" w:sz="6" w:space="0"/>
              <w:left w:val="single" w:color="F0F0F0" w:sz="6" w:space="0"/>
              <w:bottom w:val="single" w:color="auto" w:sz="6" w:space="0"/>
              <w:right w:val="single" w:color="auto" w:sz="6" w:space="0"/>
            </w:tcBorders>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注:上述补助标准以10-12米客车为标准车给予补助,其他长度纯电动客车补助标准按照上表单位载质量能量消耗量和纯电动续驶里程划分。其中, 6米及以下客车按照标准车0.2倍给予补助;6米&lt;车长≤8米客车按照标准车0.5倍给予补助;8米&lt;车长≤10米客车按照标准车0.8倍给予补助;12米以上、双层客车按照标准车1.2倍给予补助。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“单位载质量能量消耗量(Ekg)”指标,单位Wh/km·kg,四舍五入至小数点后两位。计算公式如下:</w:t>
      </w:r>
      <w:r>
        <w:rPr>
          <w:rFonts w:hint="eastAsia" w:ascii="仿宋" w:hAnsi="仿宋" w:eastAsia="仿宋" w:cs="仿宋"/>
          <w:b w:val="0"/>
          <w:i w:val="0"/>
          <w:caps w:val="0"/>
          <w:color w:val="auto"/>
          <w:spacing w:val="0"/>
          <w:sz w:val="28"/>
          <w:szCs w:val="28"/>
          <w:shd w:val="clear" w:color="auto" w:fill="FFFFFF"/>
        </w:rPr>
        <w:fldChar w:fldCharType="begin"/>
      </w:r>
      <w:r>
        <w:rPr>
          <w:rFonts w:hint="eastAsia" w:ascii="仿宋" w:hAnsi="仿宋" w:eastAsia="仿宋" w:cs="仿宋"/>
          <w:b w:val="0"/>
          <w:i w:val="0"/>
          <w:caps w:val="0"/>
          <w:color w:val="auto"/>
          <w:spacing w:val="0"/>
          <w:sz w:val="28"/>
          <w:szCs w:val="28"/>
          <w:shd w:val="clear" w:color="auto" w:fill="FFFFFF"/>
        </w:rPr>
        <w:instrText xml:space="preserve">INCLUDEPICTURE \d "https://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hint="eastAsia" w:ascii="仿宋" w:hAnsi="仿宋" w:eastAsia="仿宋" w:cs="仿宋"/>
          <w:b w:val="0"/>
          <w:i w:val="0"/>
          <w:caps w:val="0"/>
          <w:color w:val="auto"/>
          <w:spacing w:val="0"/>
          <w:sz w:val="28"/>
          <w:szCs w:val="28"/>
          <w:shd w:val="clear" w:color="auto" w:fill="FFFFFF"/>
        </w:rPr>
        <w:fldChar w:fldCharType="separate"/>
      </w:r>
      <w:r>
        <w:rPr>
          <w:rFonts w:hint="eastAsia" w:ascii="仿宋" w:hAnsi="仿宋" w:eastAsia="仿宋" w:cs="仿宋"/>
          <w:b w:val="0"/>
          <w:i w:val="0"/>
          <w:caps w:val="0"/>
          <w:color w:val="auto"/>
          <w:spacing w:val="0"/>
          <w:sz w:val="28"/>
          <w:szCs w:val="28"/>
          <w:shd w:val="clear" w:color="auto" w:fill="FFFFFF"/>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E表示电能消耗率,试验检测项。电动汽车GB/T 18386《电动汽车能量消耗率和续驶里程试验方法》试验中消耗的电能除以行驶里程所得的值,单位Wh/km。</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M表示附加质量,车辆基本参数。GB/T 18386检测试验中的所需附加质量,单位kg,具体计算如下: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 1.最大允许装载质量(按GB/T 3730.2《道路车辆 质量 词汇和代码》中定义:最大允许装载质量=最大允许总质量-整车整备质量)小于或等于180kg,附加质量=最大允许装载质量;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 2.最大允许装载质量大于180kg,但小于360kg,附加质量=180kg;</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t> 3.最大允许装载质量大于或等于360kg,附加质量=1/2最大允许装载质量。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color="auto" w:fill="FFFFFF"/>
        </w:rPr>
        <w:fldChar w:fldCharType="begin"/>
      </w:r>
      <w:r>
        <w:rPr>
          <w:rFonts w:hint="eastAsia" w:ascii="仿宋" w:hAnsi="仿宋" w:eastAsia="仿宋" w:cs="仿宋"/>
          <w:b w:val="0"/>
          <w:i w:val="0"/>
          <w:caps w:val="0"/>
          <w:color w:val="auto"/>
          <w:spacing w:val="0"/>
          <w:sz w:val="28"/>
          <w:szCs w:val="28"/>
          <w:shd w:val="clear" w:color="auto" w:fill="FFFFFF"/>
        </w:rPr>
        <w:instrText xml:space="preserve">INCLUDEPICTURE \d "https://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hint="eastAsia" w:ascii="仿宋" w:hAnsi="仿宋" w:eastAsia="仿宋" w:cs="仿宋"/>
          <w:b w:val="0"/>
          <w:i w:val="0"/>
          <w:caps w:val="0"/>
          <w:color w:val="auto"/>
          <w:spacing w:val="0"/>
          <w:sz w:val="28"/>
          <w:szCs w:val="28"/>
          <w:shd w:val="clear" w:color="auto" w:fill="FFFFFF"/>
        </w:rPr>
        <w:fldChar w:fldCharType="separate"/>
      </w:r>
      <w:r>
        <w:rPr>
          <w:rFonts w:hint="eastAsia" w:ascii="仿宋" w:hAnsi="仿宋" w:eastAsia="仿宋" w:cs="仿宋"/>
          <w:b w:val="0"/>
          <w:i w:val="0"/>
          <w:caps w:val="0"/>
          <w:color w:val="auto"/>
          <w:spacing w:val="0"/>
          <w:sz w:val="28"/>
          <w:szCs w:val="28"/>
          <w:shd w:val="clear" w:color="auto" w:fill="FFFFFF"/>
        </w:rPr>
        <w:fldChar w:fldCharType="end"/>
      </w:r>
      <w:r>
        <w:rPr>
          <w:rFonts w:hint="eastAsia" w:ascii="仿宋" w:hAnsi="仿宋" w:eastAsia="仿宋" w:cs="仿宋"/>
          <w:b w:val="0"/>
          <w:i w:val="0"/>
          <w:caps w:val="0"/>
          <w:color w:val="auto"/>
          <w:spacing w:val="0"/>
          <w:sz w:val="28"/>
          <w:szCs w:val="28"/>
          <w:shd w:val="clear" w:color="auto" w:fill="FFFFFF"/>
        </w:rPr>
        <w:fldChar w:fldCharType="begin"/>
      </w:r>
      <w:r>
        <w:rPr>
          <w:rFonts w:hint="eastAsia" w:ascii="仿宋" w:hAnsi="仿宋" w:eastAsia="仿宋" w:cs="仿宋"/>
          <w:b w:val="0"/>
          <w:i w:val="0"/>
          <w:caps w:val="0"/>
          <w:color w:val="auto"/>
          <w:spacing w:val="0"/>
          <w:sz w:val="28"/>
          <w:szCs w:val="28"/>
          <w:shd w:val="clear" w:color="auto" w:fill="FFFFFF"/>
        </w:rPr>
        <w:instrText xml:space="preserve">INCLUDEPICTURE \d "https://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hint="eastAsia" w:ascii="仿宋" w:hAnsi="仿宋" w:eastAsia="仿宋" w:cs="仿宋"/>
          <w:b w:val="0"/>
          <w:i w:val="0"/>
          <w:caps w:val="0"/>
          <w:color w:val="auto"/>
          <w:spacing w:val="0"/>
          <w:sz w:val="28"/>
          <w:szCs w:val="28"/>
          <w:shd w:val="clear" w:color="auto" w:fill="FFFFFF"/>
        </w:rPr>
        <w:fldChar w:fldCharType="separate"/>
      </w:r>
      <w:r>
        <w:rPr>
          <w:rFonts w:hint="eastAsia" w:ascii="仿宋" w:hAnsi="仿宋" w:eastAsia="仿宋" w:cs="仿宋"/>
          <w:b w:val="0"/>
          <w:i w:val="0"/>
          <w:caps w:val="0"/>
          <w:color w:val="auto"/>
          <w:spacing w:val="0"/>
          <w:sz w:val="28"/>
          <w:szCs w:val="28"/>
          <w:shd w:val="clear" w:color="auto" w:fill="FFFFFF"/>
        </w:rPr>
        <w:fldChar w:fldCharType="end"/>
      </w:r>
    </w:p>
    <w:p>
      <w:pPr>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bCs/>
          <w:sz w:val="28"/>
          <w:szCs w:val="28"/>
        </w:rPr>
      </w:pPr>
      <w:r>
        <w:rPr>
          <w:rFonts w:hint="eastAsia" w:ascii="仿宋" w:hAnsi="仿宋" w:eastAsia="仿宋" w:cs="仿宋"/>
          <w:sz w:val="28"/>
          <w:szCs w:val="28"/>
        </w:rPr>
        <w:t>附件2</w:t>
      </w:r>
      <w:r>
        <w:rPr>
          <w:rFonts w:hint="eastAsia" w:ascii="仿宋" w:hAnsi="仿宋" w:eastAsia="仿宋" w:cs="仿宋"/>
          <w:sz w:val="28"/>
          <w:szCs w:val="28"/>
          <w:lang w:val="en-US" w:eastAsia="zh-CN"/>
        </w:rPr>
        <w:t>:</w:t>
      </w:r>
      <w:r>
        <w:rPr>
          <w:rFonts w:hint="eastAsia" w:ascii="仿宋" w:hAnsi="仿宋" w:eastAsia="仿宋" w:cs="仿宋"/>
          <w:bCs/>
          <w:sz w:val="28"/>
          <w:szCs w:val="28"/>
        </w:rPr>
        <w:t>申请新能源汽车财政补助资金工作流程</w:t>
      </w:r>
    </w:p>
    <w:p>
      <w:pPr>
        <w:pStyle w:val="8"/>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一、注册账户</w:t>
      </w:r>
    </w:p>
    <w:p>
      <w:pPr>
        <w:pStyle w:val="8"/>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汽车企业（含汽车生产企业和汽车销售机构）携备案材料至北京环境交易所（以下简称“环交所”，北京市西城区德外大街甲36号德胜凯旋大厦C座二层）进行备案登记，由环交所免费为汽车企业网上注册，开设登陆账户和初始密码。汽车企业需提交的备案材料如下：</w:t>
      </w:r>
    </w:p>
    <w:p>
      <w:pPr>
        <w:pStyle w:val="8"/>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汽车生产企业申请补助资金，提供汽车生产企业组织机构代码证、营业执照、法定代表人身份证明复印件。</w:t>
      </w:r>
    </w:p>
    <w:p>
      <w:pPr>
        <w:pStyle w:val="8"/>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汽车销售机构申请补助资金，提供汽车销售机构组织机构代码证、营业执照、法定代表人身份证明复印件，以及汽车生产企业出具的申请财政补助资金授权委托书原件。</w:t>
      </w:r>
    </w:p>
    <w:p>
      <w:pPr>
        <w:pStyle w:val="8"/>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二、登陆账户</w:t>
      </w:r>
    </w:p>
    <w:p>
      <w:pPr>
        <w:pStyle w:val="8"/>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汽车企业通过互联网登陆北京市示范应用新能源小客车公共服务平台网站（http://www.bjxnyqc.org/），进入“新能源汽车补助”管理系统，在该系统页面输入登陆账号和密码后，进入该系统。</w:t>
      </w:r>
    </w:p>
    <w:p>
      <w:pPr>
        <w:pStyle w:val="8"/>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三、提交补助信息</w:t>
      </w:r>
    </w:p>
    <w:p>
      <w:pPr>
        <w:pStyle w:val="8"/>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color w:val="FF0000"/>
          <w:sz w:val="28"/>
          <w:szCs w:val="28"/>
        </w:rPr>
      </w:pPr>
      <w:r>
        <w:rPr>
          <w:rFonts w:hint="eastAsia" w:ascii="仿宋" w:hAnsi="仿宋" w:eastAsia="仿宋" w:cs="仿宋"/>
          <w:sz w:val="28"/>
          <w:szCs w:val="28"/>
        </w:rPr>
        <w:t>汽车企业进入系统，录入领取补助车辆信息并提交。</w:t>
      </w:r>
    </w:p>
    <w:p>
      <w:pPr>
        <w:pStyle w:val="8"/>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四、环交所审核</w:t>
      </w:r>
    </w:p>
    <w:p>
      <w:pPr>
        <w:pStyle w:val="8"/>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环交所对汽车企业提交的初始信息及时进行验证审核，每周末发布审核结果。汽车企业可随时登陆系统对审核结果进行查询，对未审核通过的车辆信息进行修改完善。</w:t>
      </w:r>
    </w:p>
    <w:p>
      <w:pPr>
        <w:pStyle w:val="8"/>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五、提交审核材料</w:t>
      </w:r>
    </w:p>
    <w:p>
      <w:pPr>
        <w:pStyle w:val="8"/>
        <w:keepNext w:val="0"/>
        <w:keepLines w:val="0"/>
        <w:pageBreakBefore w:val="0"/>
        <w:widowControl w:val="0"/>
        <w:kinsoku/>
        <w:wordWrap/>
        <w:overflowPunct/>
        <w:topLinePunct w:val="0"/>
        <w:autoSpaceDE w:val="0"/>
        <w:autoSpaceDN w:val="0"/>
        <w:bidi w:val="0"/>
        <w:adjustRightInd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车辆补助信息审核通过后，汽车企业及时将车辆申请材料提交至环交所（代办人需携带汽车企业的委托书及个人身份证原件及复印件）。环交所现场审核材料，根据提供的纸质材料，与信息系统审核通过的数据进行对比。审核通过后，代理人须在确认单上签字。</w:t>
      </w:r>
    </w:p>
    <w:p>
      <w:pPr>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汽车企业需提交的申请材料如下：</w:t>
      </w:r>
    </w:p>
    <w:p>
      <w:pPr>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1.财政补助资金书面申请书。</w:t>
      </w:r>
    </w:p>
    <w:p>
      <w:pPr>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2.销售给个人用户的车辆需提供：个人身份证明、车辆买卖合同、车辆销售发票、购置税完税凭证、交强险保单、机动车登记证和行驶证复印件；</w:t>
      </w:r>
    </w:p>
    <w:p>
      <w:pPr>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销售给单位用户的车辆需提供：法人代表人身份证明、组织机构代码证、营业执照、车辆买卖合同、车辆销售发票、购置税完税凭证、交强险保单、机动车登记证和行驶证复印件。</w:t>
      </w:r>
    </w:p>
    <w:p>
      <w:pPr>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3.国家质量监督检验检疫总局认可的检测机构出具的检测报告。</w:t>
      </w:r>
    </w:p>
    <w:p>
      <w:pPr>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上述所有材料均加盖汽车企业公章。</w:t>
      </w:r>
    </w:p>
    <w:p>
      <w:pPr>
        <w:pStyle w:val="8"/>
        <w:keepNext w:val="0"/>
        <w:keepLines w:val="0"/>
        <w:pageBreakBefore w:val="0"/>
        <w:widowControl w:val="0"/>
        <w:kinsoku/>
        <w:wordWrap/>
        <w:overflowPunct/>
        <w:topLinePunct w:val="0"/>
        <w:autoSpaceDE w:val="0"/>
        <w:autoSpaceDN w:val="0"/>
        <w:bidi w:val="0"/>
        <w:adjustRightInd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六、补助申请报送</w:t>
      </w:r>
    </w:p>
    <w:p>
      <w:pPr>
        <w:pStyle w:val="8"/>
        <w:keepNext w:val="0"/>
        <w:keepLines w:val="0"/>
        <w:pageBreakBefore w:val="0"/>
        <w:widowControl w:val="0"/>
        <w:kinsoku/>
        <w:wordWrap/>
        <w:overflowPunct/>
        <w:topLinePunct w:val="0"/>
        <w:autoSpaceDE w:val="0"/>
        <w:autoSpaceDN w:val="0"/>
        <w:bidi w:val="0"/>
        <w:adjustRightInd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环交所在每月初10个工作日内，按照规定的格式和要求，将审核合格后待发放补助数据统一上报至北京市经济和信息化委员会。</w:t>
      </w:r>
    </w:p>
    <w:p>
      <w:pPr>
        <w:pStyle w:val="8"/>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七、资金审核拨付 </w:t>
      </w:r>
    </w:p>
    <w:p>
      <w:pPr>
        <w:pStyle w:val="8"/>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北京市经济和信息化委员会对上报的数据进行复算后，在其官网公示5个工作日，确认无异议则兑付补助资金至相应的汽车企业账户，并将数据提供给环交所。</w:t>
      </w:r>
    </w:p>
    <w:p>
      <w:pPr>
        <w:pStyle w:val="8"/>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八、信息确认和档案整理</w:t>
      </w:r>
    </w:p>
    <w:p>
      <w:pPr>
        <w:pStyle w:val="8"/>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环交所将补助发放情况在网站信息系统进行标记，确定已发放补助的车辆信息，同时对已发放补助车辆资料进行整理归档。</w:t>
      </w:r>
    </w:p>
    <w:p>
      <w:pPr>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bidi w:val="0"/>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Times New Roman Bold">
    <w:altName w:val="Times New Roman"/>
    <w:panose1 w:val="00000000000000000000"/>
    <w:charset w:val="00"/>
    <w:family w:val="swiss"/>
    <w:pitch w:val="default"/>
    <w:sig w:usb0="00000000" w:usb1="00000000" w:usb2="00000000"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Tahoma">
    <w:panose1 w:val="020B0604030504040204"/>
    <w:charset w:val="00"/>
    <w:family w:val="decorative"/>
    <w:pitch w:val="default"/>
    <w:sig w:usb0="E1002EFF" w:usb1="C000605B" w:usb2="00000029" w:usb3="00000000" w:csb0="200101FF" w:csb1="20280000"/>
  </w:font>
  <w:font w:name="Tahoma">
    <w:panose1 w:val="020B0604030504040204"/>
    <w:charset w:val="00"/>
    <w:family w:val="roman"/>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92386193">
    <w:nsid w:val="7CB74791"/>
    <w:multiLevelType w:val="multilevel"/>
    <w:tmpl w:val="7CB74791"/>
    <w:lvl w:ilvl="0" w:tentative="1">
      <w:start w:val="1"/>
      <w:numFmt w:val="decimal"/>
      <w:lvlText w:val="%1"/>
      <w:lvlJc w:val="left"/>
      <w:pPr>
        <w:tabs>
          <w:tab w:val="left" w:pos="1062"/>
        </w:tabs>
        <w:ind w:left="1062" w:hanging="432"/>
      </w:pPr>
      <w:rPr>
        <w:lang w:val="en-US"/>
      </w:rPr>
    </w:lvl>
    <w:lvl w:ilvl="1" w:tentative="1">
      <w:start w:val="1"/>
      <w:numFmt w:val="decimal"/>
      <w:pStyle w:val="2"/>
      <w:lvlText w:val="%1.%2"/>
      <w:lvlJc w:val="left"/>
      <w:pPr>
        <w:tabs>
          <w:tab w:val="left" w:pos="576"/>
        </w:tabs>
        <w:ind w:left="576" w:hanging="576"/>
      </w:pPr>
    </w:lvl>
    <w:lvl w:ilvl="2" w:tentative="1">
      <w:start w:val="1"/>
      <w:numFmt w:val="decimal"/>
      <w:lvlText w:val="%1.%2.%3"/>
      <w:lvlJc w:val="left"/>
      <w:pPr>
        <w:tabs>
          <w:tab w:val="left" w:pos="1995"/>
        </w:tabs>
        <w:ind w:left="1995" w:hanging="720"/>
      </w:pPr>
      <w:rPr>
        <w:lang w:val="en-US" w:eastAsia="zh-CN"/>
      </w:rPr>
    </w:lvl>
    <w:lvl w:ilvl="3" w:tentative="1">
      <w:start w:val="1"/>
      <w:numFmt w:val="decimal"/>
      <w:lvlText w:val="%1.%2.%3.%4"/>
      <w:lvlJc w:val="left"/>
      <w:pPr>
        <w:tabs>
          <w:tab w:val="left" w:pos="864"/>
        </w:tabs>
        <w:ind w:left="864" w:hanging="864"/>
      </w:pPr>
    </w:lvl>
    <w:lvl w:ilvl="4" w:tentative="1">
      <w:start w:val="1"/>
      <w:numFmt w:val="decimal"/>
      <w:lvlText w:val="%1.%2.%3.%4.%5"/>
      <w:lvlJc w:val="left"/>
      <w:pPr>
        <w:tabs>
          <w:tab w:val="left" w:pos="1008"/>
        </w:tabs>
        <w:ind w:left="1008" w:hanging="1008"/>
      </w:pPr>
    </w:lvl>
    <w:lvl w:ilvl="5" w:tentative="1">
      <w:start w:val="1"/>
      <w:numFmt w:val="decimal"/>
      <w:lvlText w:val="%1.%2.%3.%4.%5.%6"/>
      <w:lvlJc w:val="left"/>
      <w:pPr>
        <w:tabs>
          <w:tab w:val="left" w:pos="1152"/>
        </w:tabs>
        <w:ind w:left="1152" w:hanging="1152"/>
      </w:pPr>
    </w:lvl>
    <w:lvl w:ilvl="6" w:tentative="1">
      <w:start w:val="1"/>
      <w:numFmt w:val="decimal"/>
      <w:lvlText w:val="%1.%2.%3.%4.%5.%6.%7"/>
      <w:lvlJc w:val="left"/>
      <w:pPr>
        <w:tabs>
          <w:tab w:val="left" w:pos="1296"/>
        </w:tabs>
        <w:ind w:left="1296" w:hanging="1296"/>
      </w:pPr>
    </w:lvl>
    <w:lvl w:ilvl="7" w:tentative="1">
      <w:start w:val="1"/>
      <w:numFmt w:val="decimal"/>
      <w:lvlText w:val="%1.%2.%3.%4.%5.%6.%7.%8"/>
      <w:lvlJc w:val="left"/>
      <w:pPr>
        <w:tabs>
          <w:tab w:val="left" w:pos="1440"/>
        </w:tabs>
        <w:ind w:left="1440" w:hanging="1440"/>
      </w:pPr>
    </w:lvl>
    <w:lvl w:ilvl="8" w:tentative="1">
      <w:start w:val="1"/>
      <w:numFmt w:val="decimal"/>
      <w:lvlText w:val="%1.%2.%3.%4.%5.%6.%7.%8.%9"/>
      <w:lvlJc w:val="left"/>
      <w:pPr>
        <w:tabs>
          <w:tab w:val="left" w:pos="1584"/>
        </w:tabs>
        <w:ind w:left="1584" w:hanging="1584"/>
      </w:pPr>
    </w:lvl>
  </w:abstractNum>
  <w:num w:numId="1">
    <w:abstractNumId w:val="20923861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4E6B17"/>
    <w:rsid w:val="024E6B1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keepNext/>
      <w:widowControl/>
      <w:numPr>
        <w:ilvl w:val="1"/>
        <w:numId w:val="1"/>
      </w:numPr>
      <w:tabs>
        <w:tab w:val="left" w:pos="576"/>
      </w:tabs>
      <w:spacing w:before="240" w:after="60" w:line="360" w:lineRule="auto"/>
      <w:jc w:val="center"/>
      <w:outlineLvl w:val="1"/>
    </w:pPr>
    <w:rPr>
      <w:rFonts w:ascii="Times New Roman Bold" w:hAnsi="Times New Roman Bold" w:eastAsia="仿宋"/>
      <w:b/>
      <w:bCs/>
      <w:iCs/>
      <w:spacing w:val="20"/>
      <w:kern w:val="0"/>
      <w:sz w:val="32"/>
      <w:szCs w:val="28"/>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page number"/>
    <w:basedOn w:val="5"/>
    <w:uiPriority w:val="0"/>
  </w:style>
  <w:style w:type="paragraph" w:customStyle="1" w:styleId="8">
    <w:name w:val="_Style 2"/>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2016-05-12T07:30:00Z</dcterms:created>
  <dc:creator>lenovo-101</dc:creator>
  <cp:lastModifiedBy>lenovo-101</cp:lastModifiedBy>
  <dcterms:modified xsi:type="dcterms:W3CDTF">2016-05-12T07:35:48Z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