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outlineLvl w:val="9"/>
        <w:rPr>
          <w:rFonts w:hint="eastAsia" w:ascii="仿宋" w:hAnsi="仿宋" w:eastAsia="仿宋" w:cs="仿宋"/>
          <w:color w:val="333333"/>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outlineLvl w:val="9"/>
        <w:rPr>
          <w:rFonts w:hint="eastAsia" w:ascii="仿宋" w:hAnsi="仿宋" w:eastAsia="仿宋" w:cs="仿宋"/>
          <w:color w:val="333333"/>
          <w:sz w:val="32"/>
          <w:szCs w:val="32"/>
        </w:rPr>
      </w:pPr>
      <w:r>
        <w:rPr>
          <w:rStyle w:val="5"/>
          <w:rFonts w:hint="eastAsia" w:ascii="仿宋" w:hAnsi="仿宋" w:eastAsia="仿宋" w:cs="仿宋"/>
          <w:i w:val="0"/>
          <w:caps w:val="0"/>
          <w:color w:val="333333"/>
          <w:spacing w:val="0"/>
          <w:sz w:val="32"/>
          <w:szCs w:val="32"/>
          <w:bdr w:val="none" w:color="auto" w:sz="0" w:space="0"/>
          <w:shd w:val="clear" w:fill="FFFFFF"/>
        </w:rPr>
        <w:t>柳州市人民政府办公室关于印发《柳州市电动汽车充电基础设施建设暂行管理办法》的通知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Fonts w:hint="eastAsia" w:ascii="仿宋" w:hAnsi="仿宋" w:eastAsia="仿宋" w:cs="仿宋"/>
          <w:b w:val="0"/>
          <w:i w:val="0"/>
          <w:caps w:val="0"/>
          <w:color w:val="333333"/>
          <w:spacing w:val="0"/>
          <w:sz w:val="28"/>
          <w:szCs w:val="28"/>
          <w:bdr w:val="none" w:color="auto" w:sz="0" w:space="0"/>
          <w:shd w:val="clear" w:fill="FFFFFF"/>
        </w:rPr>
        <w:t>各县、区人民政府,市直机关各有关委、办、局,柳东新区、阳和工业新区管委会,各有关单位: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Fonts w:hint="eastAsia" w:ascii="仿宋" w:hAnsi="仿宋" w:eastAsia="仿宋" w:cs="仿宋"/>
          <w:b w:val="0"/>
          <w:i w:val="0"/>
          <w:caps w:val="0"/>
          <w:color w:val="333333"/>
          <w:spacing w:val="0"/>
          <w:sz w:val="28"/>
          <w:szCs w:val="28"/>
          <w:bdr w:val="none" w:color="auto" w:sz="0" w:space="0"/>
          <w:shd w:val="clear" w:fill="FFFFFF"/>
        </w:rPr>
        <w:t>《柳州市电动汽车充电基础设施建设暂行管理办法》经柳州市第十三届人民政府第79次常务会议审议通过,现予以印发执行。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Fonts w:hint="eastAsia" w:ascii="仿宋" w:hAnsi="仿宋" w:eastAsia="仿宋" w:cs="仿宋"/>
          <w:b w:val="0"/>
          <w:i w:val="0"/>
          <w:caps w:val="0"/>
          <w:color w:val="333333"/>
          <w:spacing w:val="0"/>
          <w:sz w:val="28"/>
          <w:szCs w:val="28"/>
          <w:bdr w:val="none" w:color="auto" w:sz="0" w:space="0"/>
          <w:shd w:val="clear" w:fill="FFFFFF"/>
        </w:rPr>
        <w:t>2016年6月29日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柳州市汽车充电基础设施建设暂行管理办法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Fonts w:hint="eastAsia" w:ascii="仿宋" w:hAnsi="仿宋" w:eastAsia="仿宋" w:cs="仿宋"/>
          <w:b w:val="0"/>
          <w:i w:val="0"/>
          <w:caps w:val="0"/>
          <w:color w:val="333333"/>
          <w:spacing w:val="0"/>
          <w:sz w:val="28"/>
          <w:szCs w:val="28"/>
          <w:bdr w:val="none" w:color="auto" w:sz="0" w:space="0"/>
          <w:shd w:val="clear" w:fill="FFFFFF"/>
        </w:rPr>
        <w:t>为贯彻落实国家和自治区关于发展新能源汽车战略部署,解决电动汽车充电困难问题,规范我市新能源汽车充电基础设施的建设和运营等活动,根据《国务院办公厅关于加快电动汽车充电基础设施建设的指导意见》(国办发〔2015〕73号)、《住房城乡建设部关于加强城市电动汽车充电基础设施规划建设工作的通知》(建规〔2015〕199号)等相关规定,结合我市实际,制定本暂行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第一条 </w:t>
      </w:r>
      <w:r>
        <w:rPr>
          <w:rFonts w:hint="eastAsia" w:ascii="仿宋" w:hAnsi="仿宋" w:eastAsia="仿宋" w:cs="仿宋"/>
          <w:b w:val="0"/>
          <w:i w:val="0"/>
          <w:caps w:val="0"/>
          <w:color w:val="333333"/>
          <w:spacing w:val="0"/>
          <w:sz w:val="28"/>
          <w:szCs w:val="28"/>
          <w:bdr w:val="none" w:color="auto" w:sz="0" w:space="0"/>
          <w:shd w:val="clear" w:fill="FFFFFF"/>
        </w:rPr>
        <w:t>本暂行管理办法适用于柳州市(新建住宅、大型公共建筑、公共停车场、既有住宅小区和其他公共服务区域)的电动汽车充电基础设施(包括充电桩、充电站、换电站等)建设,包括土地出让、规划、设计、施工、验收、使用等环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第二条</w:t>
      </w:r>
      <w:r>
        <w:rPr>
          <w:rFonts w:hint="eastAsia" w:ascii="仿宋" w:hAnsi="仿宋" w:eastAsia="仿宋" w:cs="仿宋"/>
          <w:b w:val="0"/>
          <w:i w:val="0"/>
          <w:caps w:val="0"/>
          <w:color w:val="333333"/>
          <w:spacing w:val="0"/>
          <w:sz w:val="28"/>
          <w:szCs w:val="28"/>
          <w:bdr w:val="none" w:color="auto" w:sz="0" w:space="0"/>
          <w:shd w:val="clear" w:fill="FFFFFF"/>
        </w:rPr>
        <w:t> 发挥规划引领作用。统筹规划,科学布局,按照“慢充与快充结合、公用与专用结合、近期与远期结合”原则,抓紧制定规划,指导推进全市充电基础设施建设,推动形成以使用者居住地基本设施为主体,以城市公共建筑配建停车场、社会公共停车场、路内临时停车位充电基础设施为辅的充电基础设施建设管理体系,同步建设充电智能服务平台,形成较为完善的充电基础设施建设运营管理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第三条 </w:t>
      </w:r>
      <w:r>
        <w:rPr>
          <w:rFonts w:hint="eastAsia" w:ascii="仿宋" w:hAnsi="仿宋" w:eastAsia="仿宋" w:cs="仿宋"/>
          <w:b w:val="0"/>
          <w:i w:val="0"/>
          <w:caps w:val="0"/>
          <w:color w:val="333333"/>
          <w:spacing w:val="0"/>
          <w:sz w:val="28"/>
          <w:szCs w:val="28"/>
          <w:bdr w:val="none" w:color="auto" w:sz="0" w:space="0"/>
          <w:shd w:val="clear" w:fill="FFFFFF"/>
        </w:rPr>
        <w:t>按照适度超前,桩身先行,标准统一、共享兼容原则开展汽车充电基础设施建设。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第四条</w:t>
      </w:r>
      <w:r>
        <w:rPr>
          <w:rFonts w:hint="eastAsia" w:ascii="仿宋" w:hAnsi="仿宋" w:eastAsia="仿宋" w:cs="仿宋"/>
          <w:b w:val="0"/>
          <w:i w:val="0"/>
          <w:caps w:val="0"/>
          <w:color w:val="333333"/>
          <w:spacing w:val="0"/>
          <w:sz w:val="28"/>
          <w:szCs w:val="28"/>
          <w:bdr w:val="none" w:color="auto" w:sz="0" w:space="0"/>
          <w:shd w:val="clear" w:fill="FFFFFF"/>
        </w:rPr>
        <w:t> 按照全市规划建设目标落实抓好充电基础设施建设相关工作。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第五条 </w:t>
      </w:r>
      <w:r>
        <w:rPr>
          <w:rFonts w:hint="eastAsia" w:ascii="仿宋" w:hAnsi="仿宋" w:eastAsia="仿宋" w:cs="仿宋"/>
          <w:b w:val="0"/>
          <w:i w:val="0"/>
          <w:caps w:val="0"/>
          <w:color w:val="333333"/>
          <w:spacing w:val="0"/>
          <w:sz w:val="28"/>
          <w:szCs w:val="28"/>
          <w:bdr w:val="none" w:color="auto" w:sz="0" w:space="0"/>
          <w:shd w:val="clear" w:fill="FFFFFF"/>
        </w:rPr>
        <w:t>市发展改革、国土、规划、工业和信息化、住房城乡建设、工商、质监、公安消防、交通运输、安全监管、人民防空等相关行政主管部门和城市管理综合执法机关按照各自职责对充电基础设施建设和运营做好相应的监督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第六条 </w:t>
      </w:r>
      <w:r>
        <w:rPr>
          <w:rFonts w:hint="eastAsia" w:ascii="仿宋" w:hAnsi="仿宋" w:eastAsia="仿宋" w:cs="仿宋"/>
          <w:b w:val="0"/>
          <w:i w:val="0"/>
          <w:caps w:val="0"/>
          <w:color w:val="333333"/>
          <w:spacing w:val="0"/>
          <w:sz w:val="28"/>
          <w:szCs w:val="28"/>
          <w:bdr w:val="none" w:color="auto" w:sz="0" w:space="0"/>
          <w:shd w:val="clear" w:fill="FFFFFF"/>
        </w:rPr>
        <w:t>充电基础设施分为个人自用、公共机构及企业专属、公共充电基础设施三类。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Fonts w:hint="eastAsia" w:ascii="仿宋" w:hAnsi="仿宋" w:eastAsia="仿宋" w:cs="仿宋"/>
          <w:b w:val="0"/>
          <w:i w:val="0"/>
          <w:caps w:val="0"/>
          <w:color w:val="333333"/>
          <w:spacing w:val="0"/>
          <w:sz w:val="28"/>
          <w:szCs w:val="28"/>
          <w:bdr w:val="none" w:color="auto" w:sz="0" w:space="0"/>
          <w:shd w:val="clear" w:fill="FFFFFF"/>
        </w:rPr>
        <w:t>(一)个人自用充电基础设施是指在个人用户所有或长期租赁的固定停车位安装,专门为其停放的电动汽车充电的充电基础设施。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Fonts w:hint="eastAsia" w:ascii="仿宋" w:hAnsi="仿宋" w:eastAsia="仿宋" w:cs="仿宋"/>
          <w:b w:val="0"/>
          <w:i w:val="0"/>
          <w:caps w:val="0"/>
          <w:color w:val="333333"/>
          <w:spacing w:val="0"/>
          <w:sz w:val="28"/>
          <w:szCs w:val="28"/>
          <w:bdr w:val="none" w:color="auto" w:sz="0" w:space="0"/>
          <w:shd w:val="clear" w:fill="FFFFFF"/>
        </w:rPr>
        <w:t>(二)公共机构及企业专属充电基础设施是指在党政机关、事业单位、社会团体、企业等专属停车位建设,为营运车辆、专用车辆、公务车辆、员工车辆等提供专属充电服务的充电基础设施。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Fonts w:hint="eastAsia" w:ascii="仿宋" w:hAnsi="仿宋" w:eastAsia="仿宋" w:cs="仿宋"/>
          <w:b w:val="0"/>
          <w:i w:val="0"/>
          <w:caps w:val="0"/>
          <w:color w:val="333333"/>
          <w:spacing w:val="0"/>
          <w:sz w:val="28"/>
          <w:szCs w:val="28"/>
          <w:bdr w:val="none" w:color="auto" w:sz="0" w:space="0"/>
          <w:shd w:val="clear" w:fill="FFFFFF"/>
        </w:rPr>
        <w:t>(三)公共充电基础设施是指在规划的独立地块、社会停车场、住宅小区公共停车场、商业配建停车场、加油加气站、高速服务区等区域规划建设,面向社会车辆提供充电服务及增值服务的充电基础设施。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第七条 </w:t>
      </w:r>
      <w:r>
        <w:rPr>
          <w:rFonts w:hint="eastAsia" w:ascii="仿宋" w:hAnsi="仿宋" w:eastAsia="仿宋" w:cs="仿宋"/>
          <w:b w:val="0"/>
          <w:i w:val="0"/>
          <w:caps w:val="0"/>
          <w:color w:val="333333"/>
          <w:spacing w:val="0"/>
          <w:sz w:val="28"/>
          <w:szCs w:val="28"/>
          <w:bdr w:val="none" w:color="auto" w:sz="0" w:space="0"/>
          <w:shd w:val="clear" w:fill="FFFFFF"/>
        </w:rPr>
        <w:t>各类用途的停车场充电基础设施配置要求如下: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Fonts w:hint="eastAsia" w:ascii="仿宋" w:hAnsi="仿宋" w:eastAsia="仿宋" w:cs="仿宋"/>
          <w:b w:val="0"/>
          <w:i w:val="0"/>
          <w:caps w:val="0"/>
          <w:color w:val="333333"/>
          <w:spacing w:val="0"/>
          <w:sz w:val="28"/>
          <w:szCs w:val="28"/>
          <w:bdr w:val="none" w:color="auto" w:sz="0" w:space="0"/>
          <w:shd w:val="clear" w:fill="FFFFFF"/>
        </w:rPr>
        <w:t>(一)新建的住宅小区,应按不低于规划停车位数15%的比例预留充电基础设施电力容量,按100%的比例预留建设安装条件(位置、管道和电线铺设到所有车位);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Fonts w:hint="eastAsia" w:ascii="仿宋" w:hAnsi="仿宋" w:eastAsia="仿宋" w:cs="仿宋"/>
          <w:b w:val="0"/>
          <w:i w:val="0"/>
          <w:caps w:val="0"/>
          <w:color w:val="333333"/>
          <w:spacing w:val="0"/>
          <w:sz w:val="28"/>
          <w:szCs w:val="28"/>
          <w:bdr w:val="none" w:color="auto" w:sz="0" w:space="0"/>
          <w:shd w:val="clear" w:fill="FFFFFF"/>
        </w:rPr>
        <w:t>(二)新建的商务、商场、酒店等商业服务业设施、社会停车场,应按不低于规划停车位数10%的比例建设充电基础设施或预留建设安装条件;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Fonts w:hint="eastAsia" w:ascii="仿宋" w:hAnsi="仿宋" w:eastAsia="仿宋" w:cs="仿宋"/>
          <w:b w:val="0"/>
          <w:i w:val="0"/>
          <w:caps w:val="0"/>
          <w:color w:val="333333"/>
          <w:spacing w:val="0"/>
          <w:sz w:val="28"/>
          <w:szCs w:val="28"/>
          <w:bdr w:val="none" w:color="auto" w:sz="0" w:space="0"/>
          <w:shd w:val="clear" w:fill="FFFFFF"/>
        </w:rPr>
        <w:t>(三)已建、在建的住宅小区、社会停车场和商务、商场、酒店等商业服务业设施,应结合实际需求和场地建设条件建设充电基础设施;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Fonts w:hint="eastAsia" w:ascii="仿宋" w:hAnsi="仿宋" w:eastAsia="仿宋" w:cs="仿宋"/>
          <w:b w:val="0"/>
          <w:i w:val="0"/>
          <w:caps w:val="0"/>
          <w:color w:val="333333"/>
          <w:spacing w:val="0"/>
          <w:sz w:val="28"/>
          <w:szCs w:val="28"/>
          <w:bdr w:val="none" w:color="auto" w:sz="0" w:space="0"/>
          <w:shd w:val="clear" w:fill="FFFFFF"/>
        </w:rPr>
        <w:t>(四)公共机构的内部停车场,应按不少于规划停车位数10%的比例规划设置电动汽车专用停车位、配建充电桩。鼓励民营企业和其他社会组织配建电动汽车停车位、配建充电基础设施。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第八条</w:t>
      </w:r>
      <w:r>
        <w:rPr>
          <w:rFonts w:hint="eastAsia" w:ascii="仿宋" w:hAnsi="仿宋" w:eastAsia="仿宋" w:cs="仿宋"/>
          <w:b w:val="0"/>
          <w:i w:val="0"/>
          <w:caps w:val="0"/>
          <w:color w:val="333333"/>
          <w:spacing w:val="0"/>
          <w:sz w:val="28"/>
          <w:szCs w:val="28"/>
          <w:bdr w:val="none" w:color="auto" w:sz="0" w:space="0"/>
          <w:shd w:val="clear" w:fill="FFFFFF"/>
        </w:rPr>
        <w:t> 重点建设范围:重点建设加油站、居住小区停车位、社会停车场、企事业单位停车场的充电基础设施。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第九条</w:t>
      </w:r>
      <w:r>
        <w:rPr>
          <w:rFonts w:hint="eastAsia" w:ascii="仿宋" w:hAnsi="仿宋" w:eastAsia="仿宋" w:cs="仿宋"/>
          <w:b w:val="0"/>
          <w:i w:val="0"/>
          <w:caps w:val="0"/>
          <w:color w:val="333333"/>
          <w:spacing w:val="0"/>
          <w:sz w:val="28"/>
          <w:szCs w:val="28"/>
          <w:bdr w:val="none" w:color="auto" w:sz="0" w:space="0"/>
          <w:shd w:val="clear" w:fill="FFFFFF"/>
        </w:rPr>
        <w:t> 充电基础设施的用地可以采用适当方式供应并规范管理。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Fonts w:hint="eastAsia" w:ascii="仿宋" w:hAnsi="仿宋" w:eastAsia="仿宋" w:cs="仿宋"/>
          <w:b w:val="0"/>
          <w:i w:val="0"/>
          <w:caps w:val="0"/>
          <w:color w:val="333333"/>
          <w:spacing w:val="0"/>
          <w:sz w:val="28"/>
          <w:szCs w:val="28"/>
          <w:bdr w:val="none" w:color="auto" w:sz="0" w:space="0"/>
          <w:shd w:val="clear" w:fill="FFFFFF"/>
        </w:rPr>
        <w:t>(一)鼓励在现有停车场(位)等现有建设用地上设立他项权利建设充电基础设施。通过设立他项权利建设充电设施的,可保持现有建设用地已设立的土地使用权及用途不变;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Fonts w:hint="eastAsia" w:ascii="仿宋" w:hAnsi="仿宋" w:eastAsia="仿宋" w:cs="仿宋"/>
          <w:b w:val="0"/>
          <w:i w:val="0"/>
          <w:caps w:val="0"/>
          <w:color w:val="333333"/>
          <w:spacing w:val="0"/>
          <w:sz w:val="28"/>
          <w:szCs w:val="28"/>
          <w:bdr w:val="none" w:color="auto" w:sz="0" w:space="0"/>
          <w:shd w:val="clear" w:fill="FFFFFF"/>
        </w:rPr>
        <w:t>(二)在符合规划的前提下,利用现有建设用地新建充电站的,根据有关规定补办用地手续;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Fonts w:hint="eastAsia" w:ascii="仿宋" w:hAnsi="仿宋" w:eastAsia="仿宋" w:cs="仿宋"/>
          <w:b w:val="0"/>
          <w:i w:val="0"/>
          <w:caps w:val="0"/>
          <w:color w:val="333333"/>
          <w:spacing w:val="0"/>
          <w:sz w:val="28"/>
          <w:szCs w:val="28"/>
          <w:bdr w:val="none" w:color="auto" w:sz="0" w:space="0"/>
          <w:shd w:val="clear" w:fill="FFFFFF"/>
        </w:rPr>
        <w:t>(三)对于政府供应独立新建的充电站用地,其用途按城市规划确定的用途管理,采取招标拍卖挂牌方式出让土地使用权,通过财政补贴等方式降低充电设施建设运营成本;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Fonts w:hint="eastAsia" w:ascii="仿宋" w:hAnsi="仿宋" w:eastAsia="仿宋" w:cs="仿宋"/>
          <w:b w:val="0"/>
          <w:i w:val="0"/>
          <w:caps w:val="0"/>
          <w:color w:val="333333"/>
          <w:spacing w:val="0"/>
          <w:sz w:val="28"/>
          <w:szCs w:val="28"/>
          <w:bdr w:val="none" w:color="auto" w:sz="0" w:space="0"/>
          <w:shd w:val="clear" w:fill="FFFFFF"/>
        </w:rPr>
        <w:t>(四)政府供应其他需配建充电设施的建设用地时,在土地出让条件和建设用地规划条件中应明确充电基础设施配建要求;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Fonts w:hint="eastAsia" w:ascii="仿宋" w:hAnsi="仿宋" w:eastAsia="仿宋" w:cs="仿宋"/>
          <w:b w:val="0"/>
          <w:i w:val="0"/>
          <w:caps w:val="0"/>
          <w:color w:val="333333"/>
          <w:spacing w:val="0"/>
          <w:sz w:val="28"/>
          <w:szCs w:val="28"/>
          <w:bdr w:val="none" w:color="auto" w:sz="0" w:space="0"/>
          <w:shd w:val="clear" w:fill="FFFFFF"/>
        </w:rPr>
        <w:t>(五)严格充电站用地改变用途管理,确需改变用途的,应依法办理规划和用地相关变更手续;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Fonts w:hint="eastAsia" w:ascii="仿宋" w:hAnsi="仿宋" w:eastAsia="仿宋" w:cs="仿宋"/>
          <w:b w:val="0"/>
          <w:i w:val="0"/>
          <w:caps w:val="0"/>
          <w:color w:val="333333"/>
          <w:spacing w:val="0"/>
          <w:sz w:val="28"/>
          <w:szCs w:val="28"/>
          <w:bdr w:val="none" w:color="auto" w:sz="0" w:space="0"/>
          <w:shd w:val="clear" w:fill="FFFFFF"/>
        </w:rPr>
        <w:t>(六)既有小区充电基础设施建设充分考虑既有住宅小区的需求,并纳入到全市新能源汽车充电基础设施规划中,解决好电网增容和费用承担等相关问题。业主提出报装申请的,物业服务企业和供电部门应积极配合确认充电条件,共同做好既有小区充电基础设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第十条</w:t>
      </w:r>
      <w:r>
        <w:rPr>
          <w:rFonts w:hint="eastAsia" w:ascii="仿宋" w:hAnsi="仿宋" w:eastAsia="仿宋" w:cs="仿宋"/>
          <w:b w:val="0"/>
          <w:i w:val="0"/>
          <w:caps w:val="0"/>
          <w:color w:val="333333"/>
          <w:spacing w:val="0"/>
          <w:sz w:val="28"/>
          <w:szCs w:val="28"/>
          <w:bdr w:val="none" w:color="auto" w:sz="0" w:space="0"/>
          <w:shd w:val="clear" w:fill="FFFFFF"/>
        </w:rPr>
        <w:t> 鼓励积极利用城市现有场地和设施建设充电基础设施,适度超前建设个人自用、公共机构及企业专属、社会公共停车场等各类充电基础设施。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第十一条</w:t>
      </w:r>
      <w:r>
        <w:rPr>
          <w:rFonts w:hint="eastAsia" w:ascii="仿宋" w:hAnsi="仿宋" w:eastAsia="仿宋" w:cs="仿宋"/>
          <w:b w:val="0"/>
          <w:i w:val="0"/>
          <w:caps w:val="0"/>
          <w:color w:val="333333"/>
          <w:spacing w:val="0"/>
          <w:sz w:val="28"/>
          <w:szCs w:val="28"/>
          <w:bdr w:val="none" w:color="auto" w:sz="0" w:space="0"/>
          <w:shd w:val="clear" w:fill="FFFFFF"/>
        </w:rPr>
        <w:t> 在住宅小区、商业服务业设施、公共机构和企业内部停车场建设充电基础设施,应当依法取得业主同意。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第十二条</w:t>
      </w:r>
      <w:r>
        <w:rPr>
          <w:rFonts w:hint="eastAsia" w:ascii="仿宋" w:hAnsi="仿宋" w:eastAsia="仿宋" w:cs="仿宋"/>
          <w:b w:val="0"/>
          <w:i w:val="0"/>
          <w:caps w:val="0"/>
          <w:color w:val="333333"/>
          <w:spacing w:val="0"/>
          <w:sz w:val="28"/>
          <w:szCs w:val="28"/>
          <w:bdr w:val="none" w:color="auto" w:sz="0" w:space="0"/>
          <w:shd w:val="clear" w:fill="FFFFFF"/>
        </w:rPr>
        <w:t> 新建项目充电基础设施应与主体建筑同步设计、同步施工、同步交付使用,工程费用纳入到项目建设成本,并按照基建程序完善立项、用地审批、规划、设计、施工许可、竣工验收等手续。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第十三条</w:t>
      </w:r>
      <w:r>
        <w:rPr>
          <w:rFonts w:hint="eastAsia" w:ascii="仿宋" w:hAnsi="仿宋" w:eastAsia="仿宋" w:cs="仿宋"/>
          <w:b w:val="0"/>
          <w:i w:val="0"/>
          <w:caps w:val="0"/>
          <w:color w:val="333333"/>
          <w:spacing w:val="0"/>
          <w:sz w:val="28"/>
          <w:szCs w:val="28"/>
          <w:bdr w:val="none" w:color="auto" w:sz="0" w:space="0"/>
          <w:shd w:val="clear" w:fill="FFFFFF"/>
        </w:rPr>
        <w:t> 充分考虑好充电基础设施的用电容量和安装位置,保证充足电力。建设单位应按照配建比例向市供电局申请用电报装容量,建筑设计方案应设置汽车充电基础设施专篇,明确充电基础设施的数量、位置(包括充电接口位置)、用电量和电线走向等内容,电线覆盖所有车位,为充电基础设施预留安装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第十四条</w:t>
      </w:r>
      <w:r>
        <w:rPr>
          <w:rFonts w:hint="eastAsia" w:ascii="仿宋" w:hAnsi="仿宋" w:eastAsia="仿宋" w:cs="仿宋"/>
          <w:b w:val="0"/>
          <w:i w:val="0"/>
          <w:caps w:val="0"/>
          <w:color w:val="333333"/>
          <w:spacing w:val="0"/>
          <w:sz w:val="28"/>
          <w:szCs w:val="28"/>
          <w:bdr w:val="none" w:color="auto" w:sz="0" w:space="0"/>
          <w:shd w:val="clear" w:fill="FFFFFF"/>
        </w:rPr>
        <w:t> 提高汽车充电的便利性。汽车充电基础设施应满足国家等相关标准要求,公共充电基础设施应具备车桩兼容的条件,满足不同品牌的电动汽车与不同厂商的充电基础设施的兼容性,提高充电的安全性和便利性,促进电动汽车与充电基础设施的互联互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第十五条</w:t>
      </w:r>
      <w:r>
        <w:rPr>
          <w:rFonts w:hint="eastAsia" w:ascii="仿宋" w:hAnsi="仿宋" w:eastAsia="仿宋" w:cs="仿宋"/>
          <w:b w:val="0"/>
          <w:i w:val="0"/>
          <w:caps w:val="0"/>
          <w:color w:val="333333"/>
          <w:spacing w:val="0"/>
          <w:sz w:val="28"/>
          <w:szCs w:val="28"/>
          <w:bdr w:val="none" w:color="auto" w:sz="0" w:space="0"/>
          <w:shd w:val="clear" w:fill="FFFFFF"/>
        </w:rPr>
        <w:t> 物业服务企业应积极配合充电基础设施建设单位开展现场勘查、条件确认、用电安装、施工建设等工作,不得阻挠充电基础设施合法建设需求。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第十六条</w:t>
      </w:r>
      <w:r>
        <w:rPr>
          <w:rFonts w:hint="eastAsia" w:ascii="仿宋" w:hAnsi="仿宋" w:eastAsia="仿宋" w:cs="仿宋"/>
          <w:b w:val="0"/>
          <w:i w:val="0"/>
          <w:caps w:val="0"/>
          <w:color w:val="333333"/>
          <w:spacing w:val="0"/>
          <w:sz w:val="28"/>
          <w:szCs w:val="28"/>
          <w:bdr w:val="none" w:color="auto" w:sz="0" w:space="0"/>
          <w:shd w:val="clear" w:fill="FFFFFF"/>
        </w:rPr>
        <w:t> 供电部门应当做好充电设施相关电力基础网络建设、充电设施报装增容服务、供电保障等工作,加强输配电网的基础投入、建设和改造,建立充电设施报装及供电绿色通道,并负责按照国家《供电营业规则》制定和发布报装业务办理程序及办理时限,制定充电桩(站)报装业务办理指南,明确各类充电设施报装所需提交资料、供电方案协议签署、受电工程设计和审核、供用电合同签署和竣工报验等电力报装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第十七条</w:t>
      </w:r>
      <w:r>
        <w:rPr>
          <w:rFonts w:hint="eastAsia" w:ascii="仿宋" w:hAnsi="仿宋" w:eastAsia="仿宋" w:cs="仿宋"/>
          <w:b w:val="0"/>
          <w:i w:val="0"/>
          <w:caps w:val="0"/>
          <w:color w:val="333333"/>
          <w:spacing w:val="0"/>
          <w:sz w:val="28"/>
          <w:szCs w:val="28"/>
          <w:bdr w:val="none" w:color="auto" w:sz="0" w:space="0"/>
          <w:shd w:val="clear" w:fill="FFFFFF"/>
        </w:rPr>
        <w:t> 鼓励和支持社会投资主体参与我市充电基础设施的投资建设和运营管理。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第十八条 </w:t>
      </w:r>
      <w:r>
        <w:rPr>
          <w:rFonts w:hint="eastAsia" w:ascii="仿宋" w:hAnsi="仿宋" w:eastAsia="仿宋" w:cs="仿宋"/>
          <w:b w:val="0"/>
          <w:i w:val="0"/>
          <w:caps w:val="0"/>
          <w:color w:val="333333"/>
          <w:spacing w:val="0"/>
          <w:sz w:val="28"/>
          <w:szCs w:val="28"/>
          <w:bdr w:val="none" w:color="auto" w:sz="0" w:space="0"/>
          <w:shd w:val="clear" w:fill="FFFFFF"/>
        </w:rPr>
        <w:t>对于个人自用、公共机构和企业专属充电基础设施,鼓励充电基础设施运营企业与业主、物业服务企业、公共机构等单位合作,形成优势互补、收益共享的合作模式。鼓励各类投资者将充电基础设施委托给充电基础设施运营企业统一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第十九条</w:t>
      </w:r>
      <w:r>
        <w:rPr>
          <w:rFonts w:hint="eastAsia" w:ascii="仿宋" w:hAnsi="仿宋" w:eastAsia="仿宋" w:cs="仿宋"/>
          <w:b w:val="0"/>
          <w:i w:val="0"/>
          <w:caps w:val="0"/>
          <w:color w:val="333333"/>
          <w:spacing w:val="0"/>
          <w:sz w:val="28"/>
          <w:szCs w:val="28"/>
          <w:bdr w:val="none" w:color="auto" w:sz="0" w:space="0"/>
          <w:shd w:val="clear" w:fill="FFFFFF"/>
        </w:rPr>
        <w:t> 对于公共充电基础设施,应当由充电基础设施运营企业经营管理,并提供充电基础设施维修保养及其他配套服务。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第二十条</w:t>
      </w:r>
      <w:r>
        <w:rPr>
          <w:rFonts w:hint="eastAsia" w:ascii="仿宋" w:hAnsi="仿宋" w:eastAsia="仿宋" w:cs="仿宋"/>
          <w:b w:val="0"/>
          <w:i w:val="0"/>
          <w:caps w:val="0"/>
          <w:color w:val="333333"/>
          <w:spacing w:val="0"/>
          <w:sz w:val="28"/>
          <w:szCs w:val="28"/>
          <w:bdr w:val="none" w:color="auto" w:sz="0" w:space="0"/>
          <w:shd w:val="clear" w:fill="FFFFFF"/>
        </w:rPr>
        <w:t> 充电基础设施工程建设应当严格执行有关法律、法规以及国家标准、行业标准,符合有关专项规划、消防安全要求。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第二十一条</w:t>
      </w:r>
      <w:r>
        <w:rPr>
          <w:rFonts w:hint="eastAsia" w:ascii="仿宋" w:hAnsi="仿宋" w:eastAsia="仿宋" w:cs="仿宋"/>
          <w:b w:val="0"/>
          <w:i w:val="0"/>
          <w:caps w:val="0"/>
          <w:color w:val="333333"/>
          <w:spacing w:val="0"/>
          <w:sz w:val="28"/>
          <w:szCs w:val="28"/>
          <w:bdr w:val="none" w:color="auto" w:sz="0" w:space="0"/>
          <w:shd w:val="clear" w:fill="FFFFFF"/>
        </w:rPr>
        <w:t> 对建设汽车充电基础设施的工程项目,在各类评优活动和示范工程评选中,予以优先推荐和考虑。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第二十二条</w:t>
      </w:r>
      <w:r>
        <w:rPr>
          <w:rFonts w:hint="eastAsia" w:ascii="仿宋" w:hAnsi="仿宋" w:eastAsia="仿宋" w:cs="仿宋"/>
          <w:b w:val="0"/>
          <w:i w:val="0"/>
          <w:caps w:val="0"/>
          <w:color w:val="333333"/>
          <w:spacing w:val="0"/>
          <w:sz w:val="28"/>
          <w:szCs w:val="28"/>
          <w:bdr w:val="none" w:color="auto" w:sz="0" w:space="0"/>
          <w:shd w:val="clear" w:fill="FFFFFF"/>
        </w:rPr>
        <w:t> 建立市级财政鼓励政策,按照充电基础设施建设投资额的5%给予建设运营企业财政补助,实施一年后再视情况进行调整;对购买电动汽车的个人给予充电电费和公共停车场停车费一年补助,补助办法另行制定。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第二十三条</w:t>
      </w:r>
      <w:r>
        <w:rPr>
          <w:rFonts w:hint="eastAsia" w:ascii="仿宋" w:hAnsi="仿宋" w:eastAsia="仿宋" w:cs="仿宋"/>
          <w:b w:val="0"/>
          <w:i w:val="0"/>
          <w:caps w:val="0"/>
          <w:color w:val="333333"/>
          <w:spacing w:val="0"/>
          <w:sz w:val="28"/>
          <w:szCs w:val="28"/>
          <w:bdr w:val="none" w:color="auto" w:sz="0" w:space="0"/>
          <w:shd w:val="clear" w:fill="FFFFFF"/>
        </w:rPr>
        <w:t> 规范充电企业市场准入,指导开展全市范围充电基础设施经营,建立良好的市场秩序。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第二十四条</w:t>
      </w:r>
      <w:r>
        <w:rPr>
          <w:rFonts w:hint="eastAsia" w:ascii="仿宋" w:hAnsi="仿宋" w:eastAsia="仿宋" w:cs="仿宋"/>
          <w:b w:val="0"/>
          <w:i w:val="0"/>
          <w:caps w:val="0"/>
          <w:color w:val="333333"/>
          <w:spacing w:val="0"/>
          <w:sz w:val="28"/>
          <w:szCs w:val="28"/>
          <w:bdr w:val="none" w:color="auto" w:sz="0" w:space="0"/>
          <w:shd w:val="clear" w:fill="FFFFFF"/>
        </w:rPr>
        <w:t> 充电基础设施用户应当按照充电基础设施的操作规定安全、规范使用充电基础设施。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第二十五条</w:t>
      </w:r>
      <w:r>
        <w:rPr>
          <w:rFonts w:hint="eastAsia" w:ascii="仿宋" w:hAnsi="仿宋" w:eastAsia="仿宋" w:cs="仿宋"/>
          <w:b w:val="0"/>
          <w:i w:val="0"/>
          <w:caps w:val="0"/>
          <w:color w:val="333333"/>
          <w:spacing w:val="0"/>
          <w:sz w:val="28"/>
          <w:szCs w:val="28"/>
          <w:bdr w:val="none" w:color="auto" w:sz="0" w:space="0"/>
          <w:shd w:val="clear" w:fill="FFFFFF"/>
        </w:rPr>
        <w:t> 公共充电区域应设置消防智能化监控设施和安全监控设施,确保在发生火灾或突发情况时能与市级应急管理平台联动,快速处置,降低损失。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第二十六条</w:t>
      </w:r>
      <w:r>
        <w:rPr>
          <w:rFonts w:hint="eastAsia" w:ascii="仿宋" w:hAnsi="仿宋" w:eastAsia="仿宋" w:cs="仿宋"/>
          <w:b w:val="0"/>
          <w:i w:val="0"/>
          <w:caps w:val="0"/>
          <w:color w:val="333333"/>
          <w:spacing w:val="0"/>
          <w:sz w:val="28"/>
          <w:szCs w:val="28"/>
          <w:bdr w:val="none" w:color="auto" w:sz="0" w:space="0"/>
          <w:shd w:val="clear" w:fill="FFFFFF"/>
        </w:rPr>
        <w:t> 充电桩建成后采取统一编号管理,提供网络等多种方式发布实时充电桩使用信息,方便车主使用充电设施。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第二十七条 </w:t>
      </w:r>
      <w:r>
        <w:rPr>
          <w:rFonts w:hint="eastAsia" w:ascii="仿宋" w:hAnsi="仿宋" w:eastAsia="仿宋" w:cs="仿宋"/>
          <w:b w:val="0"/>
          <w:i w:val="0"/>
          <w:caps w:val="0"/>
          <w:color w:val="333333"/>
          <w:spacing w:val="0"/>
          <w:sz w:val="28"/>
          <w:szCs w:val="28"/>
          <w:bdr w:val="none" w:color="auto" w:sz="0" w:space="0"/>
          <w:shd w:val="clear" w:fill="FFFFFF"/>
        </w:rPr>
        <w:t>充电基础设施由所有权人负责后期维护,按照“谁所有,谁负责”的原则进行维护。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第二十八条</w:t>
      </w:r>
      <w:r>
        <w:rPr>
          <w:rFonts w:hint="eastAsia" w:ascii="仿宋" w:hAnsi="仿宋" w:eastAsia="仿宋" w:cs="仿宋"/>
          <w:b w:val="0"/>
          <w:i w:val="0"/>
          <w:caps w:val="0"/>
          <w:color w:val="333333"/>
          <w:spacing w:val="0"/>
          <w:sz w:val="28"/>
          <w:szCs w:val="28"/>
          <w:bdr w:val="none" w:color="auto" w:sz="0" w:space="0"/>
          <w:shd w:val="clear" w:fill="FFFFFF"/>
        </w:rPr>
        <w:t> 安装电动汽车自用充电基础设施应在确保不破坏人防地下室战时防护功能前提下。在人防地下室安装电动汽车自用充电基础设施,应由人防地下室管理使用单位报告人防主管部门。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color w:val="333333"/>
          <w:sz w:val="28"/>
          <w:szCs w:val="28"/>
        </w:rPr>
      </w:pPr>
      <w:r>
        <w:rPr>
          <w:rStyle w:val="5"/>
          <w:rFonts w:hint="eastAsia" w:ascii="仿宋" w:hAnsi="仿宋" w:eastAsia="仿宋" w:cs="仿宋"/>
          <w:i w:val="0"/>
          <w:caps w:val="0"/>
          <w:color w:val="333333"/>
          <w:spacing w:val="0"/>
          <w:sz w:val="28"/>
          <w:szCs w:val="28"/>
          <w:bdr w:val="none" w:color="auto" w:sz="0" w:space="0"/>
          <w:shd w:val="clear" w:fill="FFFFFF"/>
        </w:rPr>
        <w:t>第二十九条</w:t>
      </w:r>
      <w:r>
        <w:rPr>
          <w:rFonts w:hint="eastAsia" w:ascii="仿宋" w:hAnsi="仿宋" w:eastAsia="仿宋" w:cs="仿宋"/>
          <w:b w:val="0"/>
          <w:i w:val="0"/>
          <w:caps w:val="0"/>
          <w:color w:val="333333"/>
          <w:spacing w:val="0"/>
          <w:sz w:val="28"/>
          <w:szCs w:val="28"/>
          <w:bdr w:val="none" w:color="auto" w:sz="0" w:space="0"/>
          <w:shd w:val="clear" w:fill="FFFFFF"/>
        </w:rPr>
        <w:t> 本暂行管理办法自2016 年 7 月 1 日施行。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color w:val="333333"/>
          <w:sz w:val="28"/>
          <w:szCs w:val="28"/>
        </w:rPr>
      </w:pPr>
      <w:r>
        <w:rPr>
          <w:rFonts w:hint="eastAsia" w:ascii="仿宋" w:hAnsi="仿宋" w:eastAsia="仿宋" w:cs="仿宋"/>
          <w:b w:val="0"/>
          <w:i w:val="0"/>
          <w:caps w:val="0"/>
          <w:color w:val="333333"/>
          <w:spacing w:val="0"/>
          <w:sz w:val="28"/>
          <w:szCs w:val="28"/>
          <w:bdr w:val="none" w:color="auto" w:sz="0" w:space="0"/>
          <w:shd w:val="clear" w:fill="FFFFFF"/>
        </w:rPr>
        <w:t>柳州市人民政府办公室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33333"/>
          <w:spacing w:val="0"/>
          <w:sz w:val="28"/>
          <w:szCs w:val="28"/>
          <w:bdr w:val="none" w:color="auto" w:sz="0" w:space="0"/>
          <w:shd w:val="clear" w:fill="FFFFFF"/>
        </w:rPr>
        <w:t>2016年6月30日印发</w:t>
      </w:r>
      <w:r>
        <w:rPr>
          <w:rFonts w:hint="eastAsia" w:ascii="仿宋" w:hAnsi="仿宋" w:eastAsia="仿宋" w:cs="仿宋"/>
          <w:b w:val="0"/>
          <w:i w:val="0"/>
          <w:caps w:val="0"/>
          <w:color w:val="3E3E3E"/>
          <w:spacing w:val="0"/>
          <w:kern w:val="0"/>
          <w:sz w:val="28"/>
          <w:szCs w:val="28"/>
          <w:bdr w:val="none" w:color="auto" w:sz="0" w:space="0"/>
          <w:shd w:val="clear" w:fill="FFFFFF"/>
          <w:lang w:val="en-US" w:eastAsia="zh-CN" w:bidi="ar"/>
        </w:rPr>
        <w:br w:type="textWrapping"/>
      </w:r>
      <w:r>
        <w:rPr>
          <w:rFonts w:hint="eastAsia" w:ascii="仿宋" w:hAnsi="仿宋" w:eastAsia="仿宋" w:cs="仿宋"/>
          <w:b w:val="0"/>
          <w:i w:val="0"/>
          <w:caps w:val="0"/>
          <w:color w:val="3E3E3E"/>
          <w:spacing w:val="0"/>
          <w:kern w:val="0"/>
          <w:sz w:val="28"/>
          <w:szCs w:val="28"/>
          <w:bdr w:val="none" w:color="auto" w:sz="0" w:space="0"/>
          <w:shd w:val="clear" w:fill="FFFFFF"/>
          <w:lang w:val="en-US" w:eastAsia="zh-CN" w:bidi="ar"/>
        </w:rPr>
        <w:fldChar w:fldCharType="begin"/>
      </w:r>
      <w:r>
        <w:rPr>
          <w:rFonts w:hint="eastAsia" w:ascii="仿宋" w:hAnsi="仿宋" w:eastAsia="仿宋" w:cs="仿宋"/>
          <w:b w:val="0"/>
          <w:i w:val="0"/>
          <w:caps w:val="0"/>
          <w:color w:val="3E3E3E"/>
          <w:spacing w:val="0"/>
          <w:kern w:val="0"/>
          <w:sz w:val="28"/>
          <w:szCs w:val="28"/>
          <w:bdr w:val="none" w:color="auto" w:sz="0" w:space="0"/>
          <w:shd w:val="clear" w:fill="FFFFFF"/>
          <w:lang w:val="en-US" w:eastAsia="zh-CN" w:bidi="ar"/>
        </w:rPr>
        <w:instrText xml:space="preserve">INCLUDEPICTURE \d "https://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hint="eastAsia" w:ascii="仿宋" w:hAnsi="仿宋" w:eastAsia="仿宋" w:cs="仿宋"/>
          <w:b w:val="0"/>
          <w:i w:val="0"/>
          <w:caps w:val="0"/>
          <w:color w:val="3E3E3E"/>
          <w:spacing w:val="0"/>
          <w:kern w:val="0"/>
          <w:sz w:val="28"/>
          <w:szCs w:val="28"/>
          <w:bdr w:val="none" w:color="auto" w:sz="0" w:space="0"/>
          <w:shd w:val="clear" w:fill="FFFFFF"/>
          <w:lang w:val="en-US" w:eastAsia="zh-CN" w:bidi="ar"/>
        </w:rPr>
        <w:fldChar w:fldCharType="separate"/>
      </w:r>
      <w:r>
        <w:rPr>
          <w:rFonts w:hint="eastAsia" w:ascii="仿宋" w:hAnsi="仿宋" w:eastAsia="仿宋" w:cs="仿宋"/>
          <w:b w:val="0"/>
          <w:i w:val="0"/>
          <w:caps w:val="0"/>
          <w:color w:val="3E3E3E"/>
          <w:spacing w:val="0"/>
          <w:kern w:val="0"/>
          <w:sz w:val="28"/>
          <w:szCs w:val="28"/>
          <w:bdr w:val="none" w:color="auto" w:sz="0" w:space="0"/>
          <w:shd w:val="clear" w:fill="FFFFFF"/>
          <w:lang w:val="en-US" w:eastAsia="zh-CN" w:bidi="ar"/>
        </w:rPr>
        <w:drawing>
          <wp:inline distT="0" distB="0" distL="114300" distR="114300">
            <wp:extent cx="2809875" cy="1933575"/>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4" r:link="rId5"/>
                    <a:stretch>
                      <a:fillRect/>
                    </a:stretch>
                  </pic:blipFill>
                  <pic:spPr>
                    <a:xfrm>
                      <a:off x="0" y="0"/>
                      <a:ext cx="2809875" cy="1933575"/>
                    </a:xfrm>
                    <a:prstGeom prst="rect">
                      <a:avLst/>
                    </a:prstGeom>
                    <a:noFill/>
                    <a:ln w="9525">
                      <a:noFill/>
                    </a:ln>
                  </pic:spPr>
                </pic:pic>
              </a:graphicData>
            </a:graphic>
          </wp:inline>
        </w:drawing>
      </w:r>
      <w:r>
        <w:rPr>
          <w:rFonts w:hint="eastAsia" w:ascii="仿宋" w:hAnsi="仿宋" w:eastAsia="仿宋" w:cs="仿宋"/>
          <w:b w:val="0"/>
          <w:i w:val="0"/>
          <w:caps w:val="0"/>
          <w:color w:val="3E3E3E"/>
          <w:spacing w:val="0"/>
          <w:kern w:val="0"/>
          <w:sz w:val="28"/>
          <w:szCs w:val="28"/>
          <w:bdr w:val="none" w:color="auto" w:sz="0" w:space="0"/>
          <w:shd w:val="clear" w:fill="FFFFFF"/>
          <w:lang w:val="en-US" w:eastAsia="zh-CN" w:bidi="ar"/>
        </w:rPr>
        <w:fldChar w:fldCharType="end"/>
      </w:r>
      <w:r>
        <w:rPr>
          <w:rFonts w:hint="eastAsia" w:ascii="仿宋" w:hAnsi="仿宋" w:eastAsia="仿宋" w:cs="仿宋"/>
          <w:b w:val="0"/>
          <w:i w:val="0"/>
          <w:caps w:val="0"/>
          <w:color w:val="3E3E3E"/>
          <w:spacing w:val="0"/>
          <w:kern w:val="0"/>
          <w:sz w:val="28"/>
          <w:szCs w:val="28"/>
          <w:bdr w:val="none" w:color="auto" w:sz="0" w:space="0"/>
          <w:shd w:val="clear" w:fill="FFFFFF"/>
          <w:lang w:val="en-US" w:eastAsia="zh-CN" w:bidi="ar"/>
        </w:rPr>
        <w:fldChar w:fldCharType="begin"/>
      </w:r>
      <w:r>
        <w:rPr>
          <w:rFonts w:hint="eastAsia" w:ascii="仿宋" w:hAnsi="仿宋" w:eastAsia="仿宋" w:cs="仿宋"/>
          <w:b w:val="0"/>
          <w:i w:val="0"/>
          <w:caps w:val="0"/>
          <w:color w:val="3E3E3E"/>
          <w:spacing w:val="0"/>
          <w:kern w:val="0"/>
          <w:sz w:val="28"/>
          <w:szCs w:val="28"/>
          <w:bdr w:val="none" w:color="auto" w:sz="0" w:space="0"/>
          <w:shd w:val="clear" w:fill="FFFFFF"/>
          <w:lang w:val="en-US" w:eastAsia="zh-CN" w:bidi="ar"/>
        </w:rPr>
        <w:instrText xml:space="preserve">INCLUDEPICTURE \d "https://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 MERGEFORMATINET </w:instrText>
      </w:r>
      <w:r>
        <w:rPr>
          <w:rFonts w:hint="eastAsia" w:ascii="仿宋" w:hAnsi="仿宋" w:eastAsia="仿宋" w:cs="仿宋"/>
          <w:b w:val="0"/>
          <w:i w:val="0"/>
          <w:caps w:val="0"/>
          <w:color w:val="3E3E3E"/>
          <w:spacing w:val="0"/>
          <w:kern w:val="0"/>
          <w:sz w:val="28"/>
          <w:szCs w:val="28"/>
          <w:bdr w:val="none" w:color="auto" w:sz="0" w:space="0"/>
          <w:shd w:val="clear" w:fill="FFFFFF"/>
          <w:lang w:val="en-US" w:eastAsia="zh-CN" w:bidi="ar"/>
        </w:rPr>
        <w:fldChar w:fldCharType="separate"/>
      </w:r>
      <w:r>
        <w:rPr>
          <w:rFonts w:hint="eastAsia" w:ascii="仿宋" w:hAnsi="仿宋" w:eastAsia="仿宋" w:cs="仿宋"/>
          <w:b w:val="0"/>
          <w:i w:val="0"/>
          <w:caps w:val="0"/>
          <w:color w:val="3E3E3E"/>
          <w:spacing w:val="0"/>
          <w:kern w:val="0"/>
          <w:sz w:val="28"/>
          <w:szCs w:val="28"/>
          <w:bdr w:val="none" w:color="auto" w:sz="0" w:space="0"/>
          <w:shd w:val="clear" w:fill="FFFFFF"/>
          <w:lang w:val="en-US" w:eastAsia="zh-CN" w:bidi="ar"/>
        </w:rPr>
        <w:drawing>
          <wp:inline distT="0" distB="0" distL="114300" distR="114300">
            <wp:extent cx="1285875" cy="1285875"/>
            <wp:effectExtent l="0" t="0" r="0" b="0"/>
            <wp:docPr id="1" name="图片 5" descr="1467007352103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1467007352103194.jpg"/>
                    <pic:cNvPicPr>
                      <a:picLocks noChangeAspect="1"/>
                    </pic:cNvPicPr>
                  </pic:nvPicPr>
                  <pic:blipFill>
                    <a:blip r:embed="rId4" r:link="rId5"/>
                    <a:stretch>
                      <a:fillRect/>
                    </a:stretch>
                  </pic:blipFill>
                  <pic:spPr>
                    <a:xfrm>
                      <a:off x="0" y="0"/>
                      <a:ext cx="1285875" cy="1285875"/>
                    </a:xfrm>
                    <a:prstGeom prst="rect">
                      <a:avLst/>
                    </a:prstGeom>
                    <a:noFill/>
                    <a:ln w="9525">
                      <a:noFill/>
                    </a:ln>
                  </pic:spPr>
                </pic:pic>
              </a:graphicData>
            </a:graphic>
          </wp:inline>
        </w:drawing>
      </w:r>
      <w:r>
        <w:rPr>
          <w:rFonts w:hint="eastAsia" w:ascii="仿宋" w:hAnsi="仿宋" w:eastAsia="仿宋" w:cs="仿宋"/>
          <w:b w:val="0"/>
          <w:i w:val="0"/>
          <w:caps w:val="0"/>
          <w:color w:val="3E3E3E"/>
          <w:spacing w:val="0"/>
          <w:kern w:val="0"/>
          <w:sz w:val="28"/>
          <w:szCs w:val="28"/>
          <w:bdr w:val="none" w:color="auto" w:sz="0" w:space="0"/>
          <w:shd w:val="clear" w:fill="FFFFFF"/>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25B19"/>
    <w:rsid w:val="66E25B19"/>
    <w:rsid w:val="6AD64EE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s://mp.weixin.qq.com/data:image/png;base64,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"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2016-07-05T03:38:00Z</dcterms:created>
  <dc:creator>lenovo-101</dc:creator>
  <cp:lastModifiedBy>lenovo-101</cp:lastModifiedBy>
  <dcterms:modified xsi:type="dcterms:W3CDTF">2016-07-05T06:18:11Z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